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8D2" w:rsidRPr="00561972" w:rsidRDefault="002E58D2" w:rsidP="002E58D2">
      <w:pPr>
        <w:pStyle w:val="a5"/>
        <w:tabs>
          <w:tab w:val="right" w:pos="9639"/>
        </w:tabs>
        <w:rPr>
          <w:rFonts w:ascii="Calibri" w:eastAsia="新細明體" w:hAnsi="Calibri"/>
          <w:noProof w:val="0"/>
          <w:sz w:val="24"/>
          <w:szCs w:val="24"/>
          <w:lang w:val="en-GB" w:eastAsia="zh-TW"/>
        </w:rPr>
      </w:pPr>
      <w:r w:rsidRPr="00561972">
        <w:rPr>
          <w:rFonts w:ascii="Calibri" w:hAnsi="Calibri"/>
          <w:bCs/>
          <w:noProof w:val="0"/>
          <w:sz w:val="24"/>
          <w:szCs w:val="24"/>
          <w:lang w:val="en-GB"/>
        </w:rPr>
        <w:t>3GPP T</w:t>
      </w:r>
      <w:bookmarkStart w:id="0" w:name="_Ref452454252"/>
      <w:bookmarkEnd w:id="0"/>
      <w:r w:rsidRPr="00561972">
        <w:rPr>
          <w:rFonts w:ascii="Calibri" w:hAnsi="Calibri"/>
          <w:bCs/>
          <w:noProof w:val="0"/>
          <w:sz w:val="24"/>
          <w:szCs w:val="24"/>
          <w:lang w:val="en-GB"/>
        </w:rPr>
        <w:t xml:space="preserve">SG-RAN </w:t>
      </w:r>
      <w:r w:rsidRPr="00561972">
        <w:rPr>
          <w:rFonts w:ascii="Calibri" w:hAnsi="Calibri"/>
          <w:noProof w:val="0"/>
          <w:sz w:val="24"/>
          <w:szCs w:val="24"/>
          <w:lang w:val="en-GB"/>
        </w:rPr>
        <w:t>WG4 NR AH Meeting #</w:t>
      </w:r>
      <w:r>
        <w:rPr>
          <w:rFonts w:ascii="Calibri" w:eastAsia="新細明體" w:hAnsi="Calibri"/>
          <w:noProof w:val="0"/>
          <w:sz w:val="24"/>
          <w:szCs w:val="24"/>
          <w:lang w:val="en-GB" w:eastAsia="zh-TW"/>
        </w:rPr>
        <w:t>3</w:t>
      </w:r>
      <w:bookmarkStart w:id="1" w:name="_GoBack"/>
      <w:bookmarkEnd w:id="1"/>
      <w:r w:rsidRPr="00561972">
        <w:rPr>
          <w:rFonts w:ascii="Calibri" w:hAnsi="Calibri"/>
          <w:bCs/>
          <w:noProof w:val="0"/>
          <w:sz w:val="24"/>
          <w:lang w:val="en-GB"/>
        </w:rPr>
        <w:tab/>
      </w:r>
      <w:r w:rsidRPr="00561972">
        <w:rPr>
          <w:rFonts w:ascii="Calibri" w:hAnsi="Calibri"/>
          <w:noProof w:val="0"/>
          <w:sz w:val="24"/>
          <w:szCs w:val="24"/>
          <w:lang w:val="en-GB"/>
        </w:rPr>
        <w:t>R4-1</w:t>
      </w:r>
      <w:r w:rsidRPr="0032007B">
        <w:rPr>
          <w:rFonts w:ascii="Calibri" w:hAnsi="Calibri"/>
          <w:noProof w:val="0"/>
          <w:sz w:val="24"/>
          <w:szCs w:val="24"/>
          <w:lang w:val="en-GB"/>
        </w:rPr>
        <w:t>7</w:t>
      </w:r>
      <w:r w:rsidR="0032007B" w:rsidRPr="0032007B">
        <w:rPr>
          <w:rFonts w:ascii="Calibri" w:hAnsi="Calibri"/>
          <w:noProof w:val="0"/>
          <w:sz w:val="24"/>
          <w:szCs w:val="24"/>
          <w:lang w:val="en-GB"/>
        </w:rPr>
        <w:t>09334</w:t>
      </w:r>
    </w:p>
    <w:p w:rsidR="002E58D2" w:rsidRDefault="002E58D2" w:rsidP="002E58D2">
      <w:pPr>
        <w:pStyle w:val="a5"/>
        <w:rPr>
          <w:rFonts w:ascii="Calibri" w:eastAsia="新細明體" w:hAnsi="Calibri"/>
          <w:sz w:val="24"/>
          <w:lang w:eastAsia="zh-TW"/>
        </w:rPr>
      </w:pPr>
      <w:r>
        <w:rPr>
          <w:rFonts w:ascii="Calibri" w:eastAsia="新細明體" w:hAnsi="Calibri"/>
          <w:sz w:val="24"/>
          <w:lang w:eastAsia="zh-TW"/>
        </w:rPr>
        <w:t>Nagoya, Japan</w:t>
      </w:r>
      <w:r w:rsidRPr="00561972">
        <w:rPr>
          <w:rFonts w:ascii="Calibri" w:hAnsi="Calibri"/>
          <w:sz w:val="24"/>
          <w:lang w:eastAsia="zh-CN"/>
        </w:rPr>
        <w:t xml:space="preserve">, </w:t>
      </w:r>
      <w:r>
        <w:rPr>
          <w:rFonts w:ascii="Calibri" w:hAnsi="Calibri"/>
          <w:sz w:val="24"/>
          <w:lang w:eastAsia="zh-CN"/>
        </w:rPr>
        <w:t>18</w:t>
      </w:r>
      <w:r w:rsidRPr="00561972">
        <w:rPr>
          <w:rFonts w:ascii="Calibri" w:hAnsi="Calibri"/>
          <w:sz w:val="24"/>
          <w:vertAlign w:val="superscript"/>
          <w:lang w:eastAsia="zh-CN"/>
        </w:rPr>
        <w:t>th</w:t>
      </w:r>
      <w:r w:rsidRPr="00561972">
        <w:rPr>
          <w:rFonts w:ascii="Calibri" w:hAnsi="Calibri"/>
          <w:sz w:val="24"/>
          <w:lang w:eastAsia="zh-CN"/>
        </w:rPr>
        <w:t xml:space="preserve"> </w:t>
      </w:r>
      <w:r>
        <w:rPr>
          <w:rFonts w:ascii="Calibri" w:eastAsia="新細明體" w:hAnsi="Calibri"/>
          <w:sz w:val="24"/>
          <w:lang w:eastAsia="zh-TW"/>
        </w:rPr>
        <w:t>–</w:t>
      </w:r>
      <w:r w:rsidRPr="00561972">
        <w:rPr>
          <w:rFonts w:ascii="Calibri" w:eastAsia="新細明體" w:hAnsi="Calibri"/>
          <w:sz w:val="24"/>
          <w:lang w:eastAsia="zh-TW"/>
        </w:rPr>
        <w:t xml:space="preserve"> </w:t>
      </w:r>
      <w:r>
        <w:rPr>
          <w:rFonts w:ascii="Calibri" w:eastAsia="新細明體" w:hAnsi="Calibri"/>
          <w:sz w:val="24"/>
          <w:lang w:eastAsia="zh-TW"/>
        </w:rPr>
        <w:t>21</w:t>
      </w:r>
      <w:r w:rsidRPr="007E3BB1">
        <w:rPr>
          <w:rFonts w:ascii="Calibri" w:eastAsia="新細明體" w:hAnsi="Calibri"/>
          <w:sz w:val="24"/>
          <w:vertAlign w:val="superscript"/>
          <w:lang w:eastAsia="zh-TW"/>
        </w:rPr>
        <w:t>st</w:t>
      </w:r>
      <w:r w:rsidRPr="00561972">
        <w:rPr>
          <w:rFonts w:ascii="Calibri" w:eastAsia="新細明體" w:hAnsi="Calibri"/>
          <w:sz w:val="24"/>
          <w:lang w:eastAsia="zh-TW"/>
        </w:rPr>
        <w:t xml:space="preserve"> </w:t>
      </w:r>
      <w:r>
        <w:rPr>
          <w:rFonts w:ascii="Calibri" w:eastAsia="新細明體" w:hAnsi="Calibri"/>
          <w:sz w:val="24"/>
          <w:lang w:eastAsia="zh-TW"/>
        </w:rPr>
        <w:t>September</w:t>
      </w:r>
      <w:r w:rsidRPr="00561972">
        <w:rPr>
          <w:rFonts w:ascii="Calibri" w:eastAsia="新細明體" w:hAnsi="Calibri" w:hint="eastAsia"/>
          <w:sz w:val="24"/>
          <w:lang w:eastAsia="zh-TW"/>
        </w:rPr>
        <w:t xml:space="preserve"> </w:t>
      </w:r>
      <w:r w:rsidRPr="00561972">
        <w:rPr>
          <w:rFonts w:ascii="Calibri" w:hAnsi="Calibri"/>
          <w:sz w:val="24"/>
          <w:lang w:eastAsia="zh-CN"/>
        </w:rPr>
        <w:t>201</w:t>
      </w:r>
      <w:r w:rsidRPr="00561972">
        <w:rPr>
          <w:rFonts w:ascii="Calibri" w:eastAsia="新細明體" w:hAnsi="Calibri"/>
          <w:sz w:val="24"/>
          <w:lang w:eastAsia="zh-TW"/>
        </w:rPr>
        <w:t>7</w:t>
      </w:r>
    </w:p>
    <w:p w:rsidR="002E58D2" w:rsidRPr="00561972" w:rsidRDefault="002E58D2" w:rsidP="002E58D2">
      <w:pPr>
        <w:pStyle w:val="a5"/>
        <w:rPr>
          <w:rFonts w:ascii="Calibri" w:eastAsia="新細明體" w:hAnsi="Calibri"/>
          <w:sz w:val="24"/>
          <w:lang w:eastAsia="zh-TW"/>
        </w:rPr>
      </w:pPr>
    </w:p>
    <w:p w:rsidR="00FB1EA3" w:rsidRPr="00F52EE4" w:rsidRDefault="00FB1EA3" w:rsidP="00FB1EA3">
      <w:pPr>
        <w:ind w:left="1985" w:hanging="1985"/>
        <w:rPr>
          <w:rFonts w:cs="Arial"/>
          <w:b/>
          <w:bCs/>
          <w:sz w:val="24"/>
        </w:rPr>
      </w:pPr>
      <w:r w:rsidRPr="000D16A9">
        <w:rPr>
          <w:rFonts w:cs="Arial"/>
          <w:b/>
          <w:bCs/>
          <w:sz w:val="24"/>
        </w:rPr>
        <w:t>Agenda Item:</w:t>
      </w:r>
      <w:r w:rsidRPr="000C45FD">
        <w:rPr>
          <w:rFonts w:cs="Arial"/>
          <w:b/>
          <w:bCs/>
          <w:sz w:val="24"/>
        </w:rPr>
        <w:tab/>
      </w:r>
      <w:r w:rsidR="00190C0B">
        <w:rPr>
          <w:rFonts w:cs="Arial"/>
          <w:b/>
          <w:bCs/>
          <w:sz w:val="24"/>
        </w:rPr>
        <w:t>3</w:t>
      </w:r>
      <w:r>
        <w:rPr>
          <w:rFonts w:cs="Arial"/>
          <w:b/>
          <w:bCs/>
          <w:sz w:val="24"/>
        </w:rPr>
        <w:t>.</w:t>
      </w:r>
      <w:r w:rsidR="00190C0B">
        <w:rPr>
          <w:rFonts w:cs="Arial"/>
          <w:b/>
          <w:bCs/>
          <w:sz w:val="24"/>
        </w:rPr>
        <w:t>5</w:t>
      </w:r>
      <w:r>
        <w:rPr>
          <w:rFonts w:cs="Arial"/>
          <w:b/>
          <w:bCs/>
          <w:sz w:val="24"/>
        </w:rPr>
        <w:t>.6.2.1</w:t>
      </w:r>
    </w:p>
    <w:p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2E58D2" w:rsidRPr="00561972">
        <w:rPr>
          <w:rFonts w:cs="Arial"/>
          <w:b/>
          <w:bCs/>
        </w:rPr>
        <w:t>MediaTek Inc.</w:t>
      </w:r>
    </w:p>
    <w:p w:rsidR="00174EC2"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1A4F45">
        <w:rPr>
          <w:rFonts w:cs="Arial"/>
          <w:b/>
          <w:bCs/>
          <w:sz w:val="24"/>
        </w:rPr>
        <w:t>Link level simulation results for NR cell detection</w:t>
      </w:r>
    </w:p>
    <w:p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190C0B" w:rsidRDefault="0004269E" w:rsidP="00FC1821">
      <w:pPr>
        <w:jc w:val="both"/>
      </w:pPr>
      <w:r w:rsidRPr="0020001D">
        <w:t>In the RAN</w:t>
      </w:r>
      <w:r w:rsidR="00A10CB1">
        <w:t>4#8</w:t>
      </w:r>
      <w:r w:rsidR="006F7557">
        <w:t>4</w:t>
      </w:r>
      <w:r w:rsidR="001A4F45">
        <w:t xml:space="preserve"> meeting the link level simulation assumptions for </w:t>
      </w:r>
      <w:r w:rsidR="00C04273">
        <w:t xml:space="preserve">multi-cell </w:t>
      </w:r>
      <w:r w:rsidR="00A10CB1">
        <w:t xml:space="preserve">NR </w:t>
      </w:r>
      <w:r w:rsidR="001A4F45">
        <w:t>cell detection with PSS/SSS were</w:t>
      </w:r>
      <w:r w:rsidR="00A10CB1">
        <w:t xml:space="preserve"> </w:t>
      </w:r>
      <w:r w:rsidR="006F7557">
        <w:t>updated</w:t>
      </w:r>
      <w:r w:rsidR="00A10CB1">
        <w:t xml:space="preserve"> [1].</w:t>
      </w:r>
      <w:r w:rsidR="00C04273">
        <w:t xml:space="preserve"> </w:t>
      </w:r>
    </w:p>
    <w:p w:rsidR="00A10CB1" w:rsidRDefault="00C04273" w:rsidP="00FC1821">
      <w:pPr>
        <w:jc w:val="both"/>
      </w:pPr>
      <w:r>
        <w:t xml:space="preserve">It could </w:t>
      </w:r>
      <w:r w:rsidR="004E4D6D">
        <w:t xml:space="preserve">be </w:t>
      </w:r>
      <w:r>
        <w:t>f</w:t>
      </w:r>
      <w:r w:rsidR="004E4D6D">
        <w:t>ou</w:t>
      </w:r>
      <w:r>
        <w:t>nd that there are large simulation results’ gap between each company’s submissions</w:t>
      </w:r>
      <w:r w:rsidR="008723DA">
        <w:t xml:space="preserve"> </w:t>
      </w:r>
      <w:r w:rsidR="008012D1">
        <w:t>[2]</w:t>
      </w:r>
      <w:r w:rsidR="008723DA">
        <w:t>-</w:t>
      </w:r>
      <w:r w:rsidR="008012D1">
        <w:t>[4]</w:t>
      </w:r>
      <w:r>
        <w:t>.</w:t>
      </w:r>
      <w:r w:rsidR="00190C0B">
        <w:t xml:space="preserve"> </w:t>
      </w:r>
      <w:r w:rsidR="00EA7437">
        <w:t>Therefore, i</w:t>
      </w:r>
      <w:r w:rsidR="00A10CB1">
        <w:t xml:space="preserve">n this contribution </w:t>
      </w:r>
      <w:r w:rsidR="00A10CB1">
        <w:rPr>
          <w:rFonts w:hint="eastAsia"/>
        </w:rPr>
        <w:t xml:space="preserve">the </w:t>
      </w:r>
      <w:r w:rsidR="00FC1821">
        <w:t xml:space="preserve">link level simulation </w:t>
      </w:r>
      <w:r w:rsidR="001A4F45">
        <w:t>results</w:t>
      </w:r>
      <w:r w:rsidR="00A10CB1">
        <w:rPr>
          <w:rFonts w:hint="eastAsia"/>
        </w:rPr>
        <w:t xml:space="preserve"> </w:t>
      </w:r>
      <w:r w:rsidR="00073FA3">
        <w:t xml:space="preserve">for </w:t>
      </w:r>
      <w:r>
        <w:t xml:space="preserve">single cell </w:t>
      </w:r>
      <w:r w:rsidR="00073FA3">
        <w:t xml:space="preserve">NR </w:t>
      </w:r>
      <w:r w:rsidR="00FC1821">
        <w:t>PSS/SSS</w:t>
      </w:r>
      <w:r w:rsidR="00073FA3">
        <w:t xml:space="preserve"> detection</w:t>
      </w:r>
      <w:r w:rsidR="00A10CB1">
        <w:rPr>
          <w:rFonts w:hint="eastAsia"/>
        </w:rPr>
        <w:t xml:space="preserve"> </w:t>
      </w:r>
      <w:r w:rsidR="006F7557">
        <w:t xml:space="preserve">for sub 6GHz band </w:t>
      </w:r>
      <w:r w:rsidR="00DE7532">
        <w:t>are</w:t>
      </w:r>
      <w:r w:rsidR="00A10CB1">
        <w:rPr>
          <w:rFonts w:hint="eastAsia"/>
        </w:rPr>
        <w:t xml:space="preserve"> </w:t>
      </w:r>
      <w:r w:rsidR="00527A83">
        <w:t>provided</w:t>
      </w:r>
      <w:r w:rsidR="00A10CB1">
        <w:rPr>
          <w:rFonts w:hint="eastAsia"/>
        </w:rPr>
        <w:t>.</w:t>
      </w:r>
    </w:p>
    <w:p w:rsidR="001A4F45" w:rsidRDefault="001A4F45" w:rsidP="00863105">
      <w:pPr>
        <w:pStyle w:val="1"/>
        <w:numPr>
          <w:ilvl w:val="0"/>
          <w:numId w:val="2"/>
        </w:numPr>
        <w:rPr>
          <w:rFonts w:ascii="Calibri" w:hAnsi="Calibri"/>
        </w:rPr>
      </w:pPr>
      <w:r>
        <w:rPr>
          <w:rFonts w:ascii="Calibri" w:hAnsi="Calibri"/>
        </w:rPr>
        <w:t>Simulation assumption</w:t>
      </w:r>
    </w:p>
    <w:p w:rsidR="00CF152D" w:rsidRDefault="006F7557" w:rsidP="001A4F45">
      <w:pPr>
        <w:rPr>
          <w:lang w:val="en-GB" w:eastAsia="en-US"/>
        </w:rPr>
      </w:pPr>
      <w:r>
        <w:rPr>
          <w:lang w:val="en-GB" w:eastAsia="en-US"/>
        </w:rPr>
        <w:t>T</w:t>
      </w:r>
      <w:r w:rsidR="00FC1821" w:rsidRPr="006F7557">
        <w:rPr>
          <w:lang w:val="en-GB" w:eastAsia="en-US"/>
        </w:rPr>
        <w:t xml:space="preserve">he scenario for no </w:t>
      </w:r>
      <w:r w:rsidR="00A45209">
        <w:rPr>
          <w:lang w:val="en-GB" w:eastAsia="en-US"/>
        </w:rPr>
        <w:t xml:space="preserve">Tx and Rx </w:t>
      </w:r>
      <w:r w:rsidR="00FC1821" w:rsidRPr="006F7557">
        <w:rPr>
          <w:lang w:val="en-GB" w:eastAsia="en-US"/>
        </w:rPr>
        <w:t xml:space="preserve">beamforming and single SS block </w:t>
      </w:r>
      <w:r w:rsidR="005E505D">
        <w:rPr>
          <w:lang w:val="en-GB" w:eastAsia="en-US"/>
        </w:rPr>
        <w:t>are</w:t>
      </w:r>
      <w:r w:rsidR="00FC1821" w:rsidRPr="006F7557">
        <w:rPr>
          <w:lang w:val="en-GB" w:eastAsia="en-US"/>
        </w:rPr>
        <w:t xml:space="preserve"> evaluated firstly.</w:t>
      </w:r>
      <w:r>
        <w:rPr>
          <w:lang w:val="en-GB" w:eastAsia="en-US"/>
        </w:rPr>
        <w:t xml:space="preserve"> </w:t>
      </w:r>
      <w:r w:rsidR="00AC0458">
        <w:rPr>
          <w:lang w:val="en-GB" w:eastAsia="en-US"/>
        </w:rPr>
        <w:t>Only o</w:t>
      </w:r>
      <w:r>
        <w:rPr>
          <w:lang w:val="en-GB" w:eastAsia="en-US"/>
        </w:rPr>
        <w:t>ne cell confi</w:t>
      </w:r>
      <w:r w:rsidR="00CF152D">
        <w:rPr>
          <w:lang w:val="en-GB" w:eastAsia="en-US"/>
        </w:rPr>
        <w:t>guration without interference cell</w:t>
      </w:r>
      <w:r>
        <w:rPr>
          <w:lang w:val="en-GB" w:eastAsia="en-US"/>
        </w:rPr>
        <w:t xml:space="preserve"> is simulated.</w:t>
      </w:r>
      <w:r w:rsidR="00FC1821">
        <w:rPr>
          <w:lang w:val="en-GB" w:eastAsia="en-US"/>
        </w:rPr>
        <w:t xml:space="preserve"> </w:t>
      </w:r>
      <w:r>
        <w:rPr>
          <w:lang w:val="en-GB" w:eastAsia="en-US"/>
        </w:rPr>
        <w:t>The detailed simulation parameters can be found in the appendix.</w:t>
      </w:r>
    </w:p>
    <w:p w:rsidR="001A4F45" w:rsidRDefault="00CF152D" w:rsidP="001A4F45">
      <w:pPr>
        <w:rPr>
          <w:lang w:val="en-GB" w:eastAsia="en-US"/>
        </w:rPr>
      </w:pPr>
      <w:r>
        <w:rPr>
          <w:lang w:val="en-GB" w:eastAsia="en-US"/>
        </w:rPr>
        <w:t xml:space="preserve">Considering the trade-off of detection performance and power consumption, 4 Rx is not supported. The following simulation is always based on 2 Rx. </w:t>
      </w:r>
      <w:r w:rsidR="006F7557">
        <w:rPr>
          <w:lang w:val="en-GB" w:eastAsia="en-US"/>
        </w:rPr>
        <w:t xml:space="preserve"> </w:t>
      </w:r>
      <w:r w:rsidR="001A4F45">
        <w:rPr>
          <w:lang w:val="en-GB" w:eastAsia="en-US"/>
        </w:rPr>
        <w:t xml:space="preserve"> </w:t>
      </w:r>
    </w:p>
    <w:p w:rsidR="0067584C" w:rsidRDefault="0067584C" w:rsidP="001A4F45">
      <w:pPr>
        <w:rPr>
          <w:lang w:val="en-GB" w:eastAsia="en-US"/>
        </w:rPr>
      </w:pPr>
      <w:r>
        <w:rPr>
          <w:rFonts w:cs="Calibri" w:hint="eastAsia"/>
        </w:rPr>
        <w:t xml:space="preserve">Table 1 shows </w:t>
      </w:r>
      <w:r w:rsidRPr="00E607A7">
        <w:rPr>
          <w:rFonts w:cs="Calibri" w:hint="eastAsia"/>
        </w:rPr>
        <w:t xml:space="preserve">the </w:t>
      </w:r>
      <w:r>
        <w:rPr>
          <w:rFonts w:cs="Calibri" w:hint="eastAsia"/>
        </w:rPr>
        <w:t xml:space="preserve">simulation </w:t>
      </w:r>
      <w:r>
        <w:rPr>
          <w:rFonts w:cs="Calibri"/>
        </w:rPr>
        <w:t>results</w:t>
      </w:r>
      <w:r>
        <w:rPr>
          <w:rFonts w:cs="Calibri" w:hint="eastAsia"/>
        </w:rPr>
        <w:t xml:space="preserve"> of </w:t>
      </w:r>
      <w:r w:rsidRPr="00F30BAA">
        <w:rPr>
          <w:rFonts w:cs="Calibri"/>
        </w:rPr>
        <w:t>90</w:t>
      </w:r>
      <w:r w:rsidRPr="00F30BAA">
        <w:rPr>
          <w:rFonts w:cs="Calibri"/>
          <w:vertAlign w:val="superscript"/>
        </w:rPr>
        <w:t>th</w:t>
      </w:r>
      <w:r w:rsidRPr="00F30BAA">
        <w:rPr>
          <w:rFonts w:cs="Calibri"/>
        </w:rPr>
        <w:t xml:space="preserve"> percentile </w:t>
      </w:r>
      <w:r>
        <w:rPr>
          <w:rFonts w:cs="Calibri" w:hint="eastAsia"/>
        </w:rPr>
        <w:t xml:space="preserve">cell </w:t>
      </w:r>
      <w:r>
        <w:rPr>
          <w:rFonts w:cs="Calibri"/>
        </w:rPr>
        <w:t>detection</w:t>
      </w:r>
      <w:r>
        <w:rPr>
          <w:rFonts w:cs="Calibri" w:hint="eastAsia"/>
        </w:rPr>
        <w:t xml:space="preserve"> delay</w:t>
      </w:r>
      <w:r w:rsidRPr="00F30BAA">
        <w:rPr>
          <w:rFonts w:cs="Calibri" w:hint="eastAsia"/>
        </w:rPr>
        <w:t xml:space="preserve"> </w:t>
      </w:r>
      <w:r>
        <w:rPr>
          <w:rFonts w:cs="Calibri" w:hint="eastAsia"/>
        </w:rPr>
        <w:t>under AWGN</w:t>
      </w:r>
      <w:r>
        <w:rPr>
          <w:rFonts w:cs="Calibri"/>
        </w:rPr>
        <w:t>, EPA5, ETU30, TDL-A</w:t>
      </w:r>
      <w:r w:rsidR="009A7092">
        <w:rPr>
          <w:rFonts w:cs="Calibri"/>
        </w:rPr>
        <w:t>,</w:t>
      </w:r>
      <w:r w:rsidR="009A7092" w:rsidRPr="009A7092">
        <w:rPr>
          <w:rFonts w:cs="Calibri"/>
        </w:rPr>
        <w:t xml:space="preserve"> </w:t>
      </w:r>
      <w:r w:rsidR="009A7092">
        <w:rPr>
          <w:rFonts w:cs="Calibri"/>
        </w:rPr>
        <w:t>TDL-B,</w:t>
      </w:r>
      <w:r w:rsidR="009A7092" w:rsidRPr="009A7092">
        <w:rPr>
          <w:rFonts w:cs="Calibri"/>
        </w:rPr>
        <w:t xml:space="preserve"> </w:t>
      </w:r>
      <w:r w:rsidR="009A7092">
        <w:rPr>
          <w:rFonts w:cs="Calibri"/>
        </w:rPr>
        <w:t>TDL-C</w:t>
      </w:r>
      <w:r>
        <w:rPr>
          <w:rFonts w:cs="Calibri"/>
        </w:rPr>
        <w:t xml:space="preserve"> </w:t>
      </w:r>
      <w:r>
        <w:rPr>
          <w:rFonts w:cs="Calibri" w:hint="eastAsia"/>
        </w:rPr>
        <w:t>channel</w:t>
      </w:r>
      <w:r>
        <w:rPr>
          <w:rFonts w:cs="Calibri"/>
        </w:rPr>
        <w:t>s with subcarrier spacing 15 kHz</w:t>
      </w:r>
      <w:r w:rsidR="0085772C">
        <w:rPr>
          <w:rFonts w:cs="Calibri"/>
        </w:rPr>
        <w:t xml:space="preserve"> </w:t>
      </w:r>
      <w:r w:rsidR="00CF152D">
        <w:rPr>
          <w:rFonts w:cs="Calibri"/>
        </w:rPr>
        <w:t>and 30 kHz</w:t>
      </w:r>
      <w:r>
        <w:rPr>
          <w:rFonts w:cs="Calibri" w:hint="eastAsia"/>
        </w:rPr>
        <w:t>.</w:t>
      </w:r>
      <w:r>
        <w:rPr>
          <w:rFonts w:cs="Calibri"/>
        </w:rPr>
        <w:t xml:space="preserve"> </w:t>
      </w:r>
      <w:r>
        <w:t>Table 2 is the one shot detection probability</w:t>
      </w:r>
      <w:r w:rsidR="00F56C85">
        <w:t>,</w:t>
      </w:r>
      <w:r w:rsidR="00F56C85" w:rsidRPr="00F56C85">
        <w:t xml:space="preserve"> </w:t>
      </w:r>
      <w:r w:rsidR="00F56C85">
        <w:t>and s</w:t>
      </w:r>
      <w:r w:rsidR="00F56C85">
        <w:rPr>
          <w:rFonts w:cs="Calibri"/>
        </w:rPr>
        <w:t>ince the burst set periodicity is 5ms, one shot corresponds to 5ms</w:t>
      </w:r>
      <w:r w:rsidR="006F7557">
        <w:t>.</w:t>
      </w:r>
    </w:p>
    <w:p w:rsidR="00B71077" w:rsidRDefault="00B71077" w:rsidP="0067584C">
      <w:pPr>
        <w:pStyle w:val="af1"/>
        <w:jc w:val="center"/>
        <w:rPr>
          <w:bCs/>
          <w:highlight w:val="yellow"/>
          <w:lang w:val="en-US" w:eastAsia="ko-KR"/>
        </w:rPr>
      </w:pPr>
    </w:p>
    <w:p w:rsidR="0067584C" w:rsidRPr="0085772C" w:rsidRDefault="0067584C" w:rsidP="0085772C">
      <w:pPr>
        <w:jc w:val="center"/>
        <w:rPr>
          <w:rFonts w:cs="Calibri"/>
        </w:rPr>
      </w:pPr>
      <w:r w:rsidRPr="0085772C">
        <w:rPr>
          <w:rFonts w:cs="Calibri"/>
        </w:rPr>
        <w:t xml:space="preserve">Table </w:t>
      </w:r>
      <w:r w:rsidRPr="0085772C">
        <w:rPr>
          <w:rFonts w:cs="Calibri" w:hint="eastAsia"/>
        </w:rPr>
        <w:t xml:space="preserve">1: </w:t>
      </w:r>
      <w:r w:rsidR="00EE4750">
        <w:rPr>
          <w:rFonts w:cs="Calibri"/>
        </w:rPr>
        <w:t>Cell</w:t>
      </w:r>
      <w:r w:rsidRPr="0085772C">
        <w:rPr>
          <w:rFonts w:cs="Calibri" w:hint="eastAsia"/>
        </w:rPr>
        <w:t xml:space="preserve"> </w:t>
      </w:r>
      <w:r w:rsidRPr="0085772C">
        <w:rPr>
          <w:rFonts w:cs="Calibri"/>
        </w:rPr>
        <w:t>detection delay (</w:t>
      </w:r>
      <w:r w:rsidR="00795F52">
        <w:rPr>
          <w:rFonts w:cs="Calibri"/>
        </w:rPr>
        <w:t>in n</w:t>
      </w:r>
      <w:r w:rsidR="00424FCB">
        <w:rPr>
          <w:rFonts w:cs="Calibri"/>
        </w:rPr>
        <w:t xml:space="preserve">umber of </w:t>
      </w:r>
      <w:r w:rsidR="00795F52">
        <w:rPr>
          <w:rFonts w:cs="Calibri"/>
        </w:rPr>
        <w:t xml:space="preserve">required </w:t>
      </w:r>
      <w:r w:rsidR="00B53031">
        <w:rPr>
          <w:rFonts w:cs="Calibri"/>
        </w:rPr>
        <w:t>SS</w:t>
      </w:r>
      <w:r w:rsidRPr="0085772C">
        <w:rPr>
          <w:rFonts w:cs="Calibri"/>
        </w:rPr>
        <w:t xml:space="preserve"> </w:t>
      </w:r>
      <w:r w:rsidR="00B71077" w:rsidRPr="0085772C">
        <w:rPr>
          <w:rFonts w:cs="Calibri"/>
        </w:rPr>
        <w:t>block</w:t>
      </w:r>
      <w:r w:rsidR="006F7557">
        <w:rPr>
          <w:rFonts w:cs="Calibri"/>
        </w:rPr>
        <w:t>)</w:t>
      </w:r>
    </w:p>
    <w:tbl>
      <w:tblPr>
        <w:tblW w:w="5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699"/>
        <w:gridCol w:w="660"/>
        <w:gridCol w:w="680"/>
        <w:gridCol w:w="680"/>
        <w:gridCol w:w="680"/>
        <w:gridCol w:w="669"/>
      </w:tblGrid>
      <w:tr w:rsidR="00CF152D" w:rsidRPr="00F0793D" w:rsidTr="0085772C">
        <w:trPr>
          <w:jc w:val="center"/>
        </w:trPr>
        <w:tc>
          <w:tcPr>
            <w:tcW w:w="1338" w:type="dxa"/>
            <w:vMerge w:val="restart"/>
            <w:tcBorders>
              <w:top w:val="single" w:sz="12" w:space="0" w:color="auto"/>
              <w:left w:val="single" w:sz="12" w:space="0" w:color="auto"/>
              <w:right w:val="single" w:sz="12" w:space="0" w:color="auto"/>
              <w:tl2br w:val="single" w:sz="12" w:space="0" w:color="auto"/>
            </w:tcBorders>
            <w:shd w:val="clear" w:color="auto" w:fill="BFBFBF"/>
          </w:tcPr>
          <w:p w:rsidR="00CF152D" w:rsidRDefault="00CF152D" w:rsidP="00CF152D">
            <w:pPr>
              <w:widowControl w:val="0"/>
              <w:spacing w:after="0"/>
              <w:jc w:val="right"/>
              <w:rPr>
                <w:kern w:val="2"/>
              </w:rPr>
            </w:pPr>
            <w:r>
              <w:rPr>
                <w:kern w:val="2"/>
              </w:rPr>
              <w:t>SINR</w:t>
            </w:r>
          </w:p>
          <w:p w:rsidR="00CF152D" w:rsidRPr="00F0793D" w:rsidRDefault="00CF152D" w:rsidP="00CF152D">
            <w:pPr>
              <w:widowControl w:val="0"/>
              <w:spacing w:after="0"/>
              <w:jc w:val="right"/>
              <w:rPr>
                <w:kern w:val="2"/>
              </w:rPr>
            </w:pPr>
            <w:r>
              <w:rPr>
                <w:kern w:val="2"/>
              </w:rPr>
              <w:t>(dB)</w:t>
            </w:r>
          </w:p>
          <w:p w:rsidR="00CF152D" w:rsidRPr="00F0793D" w:rsidRDefault="00CF152D" w:rsidP="00CF152D">
            <w:pPr>
              <w:widowControl w:val="0"/>
              <w:spacing w:after="0"/>
              <w:jc w:val="both"/>
              <w:rPr>
                <w:rFonts w:eastAsia="Malgun Gothic" w:cs="Calibri"/>
                <w:kern w:val="2"/>
                <w:lang w:eastAsia="ko-KR"/>
              </w:rPr>
            </w:pPr>
            <w:r>
              <w:rPr>
                <w:rFonts w:eastAsia="Malgun Gothic" w:cs="Calibri"/>
                <w:kern w:val="2"/>
                <w:lang w:eastAsia="ko-KR"/>
              </w:rPr>
              <w:t>Channel</w:t>
            </w:r>
          </w:p>
        </w:tc>
        <w:tc>
          <w:tcPr>
            <w:tcW w:w="2039" w:type="dxa"/>
            <w:gridSpan w:val="3"/>
            <w:tcBorders>
              <w:top w:val="single" w:sz="12" w:space="0" w:color="auto"/>
              <w:left w:val="single" w:sz="12" w:space="0" w:color="auto"/>
              <w:right w:val="single" w:sz="12" w:space="0" w:color="auto"/>
            </w:tcBorders>
            <w:shd w:val="clear" w:color="auto" w:fill="BFBFBF"/>
          </w:tcPr>
          <w:p w:rsidR="00CF152D" w:rsidRPr="00F0793D" w:rsidRDefault="00CF152D" w:rsidP="004F0D2A">
            <w:pPr>
              <w:widowControl w:val="0"/>
              <w:spacing w:after="0"/>
              <w:jc w:val="center"/>
              <w:rPr>
                <w:rFonts w:cs="Calibri"/>
                <w:kern w:val="2"/>
              </w:rPr>
            </w:pPr>
            <w:r>
              <w:rPr>
                <w:rFonts w:cs="Calibri"/>
                <w:kern w:val="2"/>
              </w:rPr>
              <w:t>S</w:t>
            </w:r>
            <w:r w:rsidR="004F0D2A">
              <w:rPr>
                <w:rFonts w:cs="Calibri"/>
                <w:kern w:val="2"/>
              </w:rPr>
              <w:t>C</w:t>
            </w:r>
            <w:r>
              <w:rPr>
                <w:rFonts w:cs="Calibri"/>
                <w:kern w:val="2"/>
              </w:rPr>
              <w:t>S=15KHz</w:t>
            </w:r>
          </w:p>
        </w:tc>
        <w:tc>
          <w:tcPr>
            <w:tcW w:w="2029" w:type="dxa"/>
            <w:gridSpan w:val="3"/>
            <w:tcBorders>
              <w:top w:val="single" w:sz="12" w:space="0" w:color="auto"/>
              <w:left w:val="single" w:sz="12" w:space="0" w:color="auto"/>
              <w:bottom w:val="single" w:sz="12" w:space="0" w:color="auto"/>
              <w:right w:val="single" w:sz="12" w:space="0" w:color="auto"/>
            </w:tcBorders>
            <w:shd w:val="clear" w:color="auto" w:fill="BFBFBF"/>
          </w:tcPr>
          <w:p w:rsidR="00CF152D" w:rsidRPr="00F0793D" w:rsidRDefault="00CF152D" w:rsidP="004F0D2A">
            <w:pPr>
              <w:widowControl w:val="0"/>
              <w:spacing w:after="0"/>
              <w:jc w:val="center"/>
              <w:rPr>
                <w:rFonts w:cs="Calibri"/>
                <w:kern w:val="2"/>
              </w:rPr>
            </w:pPr>
            <w:r>
              <w:rPr>
                <w:rFonts w:cs="Calibri"/>
                <w:kern w:val="2"/>
              </w:rPr>
              <w:t>S</w:t>
            </w:r>
            <w:r w:rsidR="004F0D2A">
              <w:rPr>
                <w:rFonts w:cs="Calibri"/>
                <w:kern w:val="2"/>
              </w:rPr>
              <w:t>C</w:t>
            </w:r>
            <w:r>
              <w:rPr>
                <w:rFonts w:cs="Calibri"/>
                <w:kern w:val="2"/>
              </w:rPr>
              <w:t>S=30KHz</w:t>
            </w:r>
          </w:p>
        </w:tc>
      </w:tr>
      <w:tr w:rsidR="0085772C" w:rsidRPr="00F0793D" w:rsidTr="0085772C">
        <w:trPr>
          <w:trHeight w:val="161"/>
          <w:jc w:val="center"/>
        </w:trPr>
        <w:tc>
          <w:tcPr>
            <w:tcW w:w="1338" w:type="dxa"/>
            <w:vMerge/>
            <w:tcBorders>
              <w:left w:val="single" w:sz="12" w:space="0" w:color="auto"/>
              <w:bottom w:val="single" w:sz="12" w:space="0" w:color="auto"/>
              <w:right w:val="single" w:sz="12" w:space="0" w:color="auto"/>
            </w:tcBorders>
            <w:shd w:val="clear" w:color="auto" w:fill="BFBFBF"/>
          </w:tcPr>
          <w:p w:rsidR="0085772C" w:rsidRPr="00F0793D" w:rsidRDefault="0085772C" w:rsidP="000F508D">
            <w:pPr>
              <w:widowControl w:val="0"/>
              <w:spacing w:after="0"/>
              <w:jc w:val="center"/>
              <w:rPr>
                <w:rFonts w:eastAsia="Malgun Gothic" w:cs="Calibri"/>
                <w:kern w:val="2"/>
                <w:lang w:eastAsia="ko-KR"/>
              </w:rPr>
            </w:pPr>
          </w:p>
        </w:tc>
        <w:tc>
          <w:tcPr>
            <w:tcW w:w="699" w:type="dxa"/>
            <w:tcBorders>
              <w:top w:val="single" w:sz="12" w:space="0" w:color="auto"/>
              <w:left w:val="single" w:sz="12" w:space="0" w:color="auto"/>
              <w:bottom w:val="single" w:sz="12" w:space="0" w:color="auto"/>
            </w:tcBorders>
            <w:shd w:val="clear" w:color="auto" w:fill="BFBFBF"/>
            <w:vAlign w:val="center"/>
          </w:tcPr>
          <w:p w:rsidR="0085772C" w:rsidRPr="0067584C" w:rsidRDefault="0085772C" w:rsidP="0043367C">
            <w:pPr>
              <w:widowControl w:val="0"/>
              <w:spacing w:after="0"/>
              <w:jc w:val="center"/>
              <w:rPr>
                <w:rFonts w:cs="Calibri"/>
                <w:kern w:val="2"/>
                <w:sz w:val="20"/>
              </w:rPr>
            </w:pPr>
            <w:r>
              <w:rPr>
                <w:kern w:val="2"/>
                <w:sz w:val="20"/>
              </w:rPr>
              <w:t>-8</w:t>
            </w:r>
          </w:p>
        </w:tc>
        <w:tc>
          <w:tcPr>
            <w:tcW w:w="660" w:type="dxa"/>
            <w:tcBorders>
              <w:top w:val="single" w:sz="12" w:space="0" w:color="auto"/>
              <w:bottom w:val="single" w:sz="12" w:space="0" w:color="auto"/>
            </w:tcBorders>
            <w:shd w:val="clear" w:color="auto" w:fill="BFBFBF"/>
            <w:vAlign w:val="center"/>
          </w:tcPr>
          <w:p w:rsidR="0085772C" w:rsidRPr="0067584C" w:rsidRDefault="0085772C" w:rsidP="0043367C">
            <w:pPr>
              <w:widowControl w:val="0"/>
              <w:spacing w:after="0"/>
              <w:jc w:val="center"/>
              <w:rPr>
                <w:rFonts w:cs="Calibri"/>
                <w:kern w:val="2"/>
                <w:sz w:val="20"/>
              </w:rPr>
            </w:pPr>
            <w:r>
              <w:rPr>
                <w:kern w:val="2"/>
                <w:sz w:val="20"/>
              </w:rPr>
              <w:t>-7</w:t>
            </w:r>
          </w:p>
        </w:tc>
        <w:tc>
          <w:tcPr>
            <w:tcW w:w="680" w:type="dxa"/>
            <w:tcBorders>
              <w:top w:val="single" w:sz="12" w:space="0" w:color="auto"/>
              <w:bottom w:val="single" w:sz="12" w:space="0" w:color="auto"/>
              <w:right w:val="single" w:sz="12" w:space="0" w:color="auto"/>
            </w:tcBorders>
            <w:shd w:val="clear" w:color="auto" w:fill="BFBFBF"/>
            <w:vAlign w:val="center"/>
          </w:tcPr>
          <w:p w:rsidR="0085772C" w:rsidRPr="0067584C" w:rsidRDefault="0085772C" w:rsidP="0043367C">
            <w:pPr>
              <w:widowControl w:val="0"/>
              <w:spacing w:after="0"/>
              <w:jc w:val="center"/>
              <w:rPr>
                <w:rFonts w:cs="Calibri"/>
                <w:kern w:val="2"/>
                <w:sz w:val="20"/>
              </w:rPr>
            </w:pPr>
            <w:r>
              <w:rPr>
                <w:kern w:val="2"/>
                <w:sz w:val="20"/>
              </w:rPr>
              <w:t>-6</w:t>
            </w:r>
          </w:p>
        </w:tc>
        <w:tc>
          <w:tcPr>
            <w:tcW w:w="680" w:type="dxa"/>
            <w:tcBorders>
              <w:top w:val="single" w:sz="12" w:space="0" w:color="auto"/>
              <w:left w:val="single" w:sz="12" w:space="0" w:color="auto"/>
              <w:bottom w:val="single" w:sz="12" w:space="0" w:color="auto"/>
            </w:tcBorders>
            <w:shd w:val="clear" w:color="auto" w:fill="BFBFBF"/>
            <w:vAlign w:val="center"/>
          </w:tcPr>
          <w:p w:rsidR="0085772C" w:rsidRPr="0067584C" w:rsidRDefault="0085772C" w:rsidP="0043367C">
            <w:pPr>
              <w:widowControl w:val="0"/>
              <w:spacing w:after="0"/>
              <w:jc w:val="center"/>
              <w:rPr>
                <w:rFonts w:cs="Calibri"/>
                <w:kern w:val="2"/>
                <w:sz w:val="20"/>
              </w:rPr>
            </w:pPr>
            <w:r>
              <w:rPr>
                <w:kern w:val="2"/>
                <w:sz w:val="20"/>
              </w:rPr>
              <w:t>-8</w:t>
            </w:r>
          </w:p>
        </w:tc>
        <w:tc>
          <w:tcPr>
            <w:tcW w:w="680" w:type="dxa"/>
            <w:tcBorders>
              <w:top w:val="single" w:sz="12" w:space="0" w:color="auto"/>
              <w:bottom w:val="single" w:sz="12" w:space="0" w:color="auto"/>
            </w:tcBorders>
            <w:shd w:val="clear" w:color="auto" w:fill="BFBFBF"/>
            <w:vAlign w:val="center"/>
          </w:tcPr>
          <w:p w:rsidR="0085772C" w:rsidRPr="0067584C" w:rsidRDefault="0085772C" w:rsidP="0043367C">
            <w:pPr>
              <w:widowControl w:val="0"/>
              <w:spacing w:after="0"/>
              <w:jc w:val="center"/>
              <w:rPr>
                <w:rFonts w:cs="Calibri"/>
                <w:kern w:val="2"/>
                <w:sz w:val="20"/>
              </w:rPr>
            </w:pPr>
            <w:r>
              <w:rPr>
                <w:kern w:val="2"/>
                <w:sz w:val="20"/>
              </w:rPr>
              <w:t>-7</w:t>
            </w:r>
          </w:p>
        </w:tc>
        <w:tc>
          <w:tcPr>
            <w:tcW w:w="669" w:type="dxa"/>
            <w:tcBorders>
              <w:top w:val="single" w:sz="12" w:space="0" w:color="auto"/>
              <w:bottom w:val="single" w:sz="12" w:space="0" w:color="auto"/>
              <w:right w:val="single" w:sz="12" w:space="0" w:color="auto"/>
            </w:tcBorders>
            <w:shd w:val="clear" w:color="auto" w:fill="BFBFBF"/>
            <w:vAlign w:val="center"/>
          </w:tcPr>
          <w:p w:rsidR="0085772C" w:rsidRPr="0067584C" w:rsidRDefault="0085772C" w:rsidP="0043367C">
            <w:pPr>
              <w:widowControl w:val="0"/>
              <w:spacing w:after="0"/>
              <w:jc w:val="center"/>
              <w:rPr>
                <w:rFonts w:cs="Calibri"/>
                <w:kern w:val="2"/>
                <w:sz w:val="20"/>
              </w:rPr>
            </w:pPr>
            <w:r>
              <w:rPr>
                <w:kern w:val="2"/>
                <w:sz w:val="20"/>
              </w:rPr>
              <w:t>-6</w:t>
            </w:r>
          </w:p>
        </w:tc>
      </w:tr>
      <w:tr w:rsidR="00097DFB" w:rsidRPr="00F0793D" w:rsidTr="0085772C">
        <w:trPr>
          <w:jc w:val="center"/>
        </w:trPr>
        <w:tc>
          <w:tcPr>
            <w:tcW w:w="1338" w:type="dxa"/>
            <w:tcBorders>
              <w:top w:val="single" w:sz="12" w:space="0" w:color="auto"/>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AWGN</w:t>
            </w:r>
          </w:p>
        </w:tc>
        <w:tc>
          <w:tcPr>
            <w:tcW w:w="699" w:type="dxa"/>
            <w:tcBorders>
              <w:top w:val="single" w:sz="12" w:space="0" w:color="auto"/>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1</w:t>
            </w:r>
          </w:p>
        </w:tc>
        <w:tc>
          <w:tcPr>
            <w:tcW w:w="660" w:type="dxa"/>
            <w:tcBorders>
              <w:top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w:t>
            </w:r>
          </w:p>
        </w:tc>
        <w:tc>
          <w:tcPr>
            <w:tcW w:w="680" w:type="dxa"/>
            <w:tcBorders>
              <w:top w:val="single" w:sz="12" w:space="0" w:color="auto"/>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w:t>
            </w:r>
          </w:p>
        </w:tc>
        <w:tc>
          <w:tcPr>
            <w:tcW w:w="680" w:type="dxa"/>
            <w:tcBorders>
              <w:top w:val="single" w:sz="12" w:space="0" w:color="auto"/>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1</w:t>
            </w:r>
          </w:p>
        </w:tc>
        <w:tc>
          <w:tcPr>
            <w:tcW w:w="680" w:type="dxa"/>
            <w:tcBorders>
              <w:top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w:t>
            </w:r>
          </w:p>
        </w:tc>
        <w:tc>
          <w:tcPr>
            <w:tcW w:w="669" w:type="dxa"/>
            <w:tcBorders>
              <w:top w:val="single" w:sz="12" w:space="0" w:color="auto"/>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EPA5</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ETU30</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4</w:t>
            </w:r>
          </w:p>
        </w:tc>
        <w:tc>
          <w:tcPr>
            <w:tcW w:w="660" w:type="dxa"/>
          </w:tcPr>
          <w:p w:rsidR="00097DFB" w:rsidRPr="00871108" w:rsidRDefault="006359B9"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6</w:t>
            </w:r>
          </w:p>
        </w:tc>
        <w:tc>
          <w:tcPr>
            <w:tcW w:w="680" w:type="dxa"/>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4</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3</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TDL-A(5Hz)</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8012D1" w:rsidRDefault="00097DFB" w:rsidP="00097DFB">
            <w:pPr>
              <w:widowControl w:val="0"/>
              <w:spacing w:after="0"/>
              <w:jc w:val="center"/>
              <w:rPr>
                <w:rFonts w:cs="Calibri"/>
                <w:kern w:val="2"/>
                <w:highlight w:val="yellow"/>
              </w:rPr>
            </w:pPr>
            <w:r w:rsidRPr="00262571">
              <w:rPr>
                <w:rFonts w:cs="Calibri"/>
                <w:kern w:val="2"/>
              </w:rPr>
              <w:t>TDL-B</w:t>
            </w:r>
            <w:r w:rsidRPr="00262571">
              <w:rPr>
                <w:rFonts w:eastAsia="Malgun Gothic" w:cs="Calibri"/>
                <w:kern w:val="2"/>
                <w:lang w:eastAsia="ko-KR"/>
              </w:rPr>
              <w:t>(5Hz)</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TDL-C(5Hz)</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w:t>
            </w:r>
          </w:p>
        </w:tc>
        <w:tc>
          <w:tcPr>
            <w:tcW w:w="680" w:type="dxa"/>
            <w:tcBorders>
              <w:left w:val="single" w:sz="12" w:space="0" w:color="auto"/>
            </w:tcBorders>
          </w:tcPr>
          <w:p w:rsidR="00097DFB" w:rsidRPr="00871108" w:rsidRDefault="006359B9"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TDL-A(30Hz)</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8012D1" w:rsidRDefault="00097DFB" w:rsidP="00097DFB">
            <w:pPr>
              <w:widowControl w:val="0"/>
              <w:spacing w:after="0"/>
              <w:jc w:val="center"/>
              <w:rPr>
                <w:rFonts w:cs="Calibri"/>
                <w:kern w:val="2"/>
                <w:highlight w:val="yellow"/>
              </w:rPr>
            </w:pPr>
            <w:r w:rsidRPr="00262571">
              <w:rPr>
                <w:rFonts w:cs="Calibri"/>
                <w:kern w:val="2"/>
              </w:rPr>
              <w:t>TDL-B</w:t>
            </w:r>
            <w:r w:rsidRPr="00262571">
              <w:rPr>
                <w:rFonts w:eastAsia="Malgun Gothic" w:cs="Calibri"/>
                <w:kern w:val="2"/>
                <w:lang w:eastAsia="ko-KR"/>
              </w:rPr>
              <w:t>(30Hz)</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r w:rsidR="00097DFB" w:rsidRPr="00F0793D" w:rsidTr="0085772C">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TDL-C(30Hz)</w:t>
            </w:r>
          </w:p>
        </w:tc>
        <w:tc>
          <w:tcPr>
            <w:tcW w:w="699" w:type="dxa"/>
            <w:tcBorders>
              <w:left w:val="single" w:sz="12" w:space="0" w:color="auto"/>
            </w:tcBorders>
            <w:shd w:val="clear" w:color="auto" w:fill="auto"/>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6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80" w:type="dxa"/>
            <w:tcBorders>
              <w:left w:val="single" w:sz="12" w:space="0" w:color="auto"/>
            </w:tcBorders>
          </w:tcPr>
          <w:p w:rsidR="00097DFB" w:rsidRPr="00871108" w:rsidRDefault="00D72741" w:rsidP="00097DFB">
            <w:pPr>
              <w:widowControl w:val="0"/>
              <w:spacing w:after="0"/>
              <w:jc w:val="center"/>
              <w:rPr>
                <w:rFonts w:eastAsia="Malgun Gothic" w:cs="Calibri"/>
                <w:kern w:val="2"/>
                <w:lang w:eastAsia="ko-KR"/>
              </w:rPr>
            </w:pPr>
            <w:r>
              <w:rPr>
                <w:rFonts w:eastAsia="Malgun Gothic" w:cs="Calibri"/>
                <w:kern w:val="2"/>
                <w:lang w:eastAsia="ko-KR"/>
              </w:rPr>
              <w:t>3</w:t>
            </w:r>
          </w:p>
        </w:tc>
        <w:tc>
          <w:tcPr>
            <w:tcW w:w="680"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c>
          <w:tcPr>
            <w:tcW w:w="669"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2</w:t>
            </w:r>
          </w:p>
        </w:tc>
      </w:tr>
    </w:tbl>
    <w:p w:rsidR="0067584C" w:rsidRDefault="0067584C" w:rsidP="0067584C">
      <w:pPr>
        <w:pStyle w:val="af1"/>
        <w:jc w:val="center"/>
        <w:rPr>
          <w:bCs/>
          <w:lang w:val="en-US" w:eastAsia="ko-KR"/>
        </w:rPr>
      </w:pPr>
    </w:p>
    <w:p w:rsidR="006A2EFE" w:rsidRDefault="006A2EFE" w:rsidP="006A2EFE">
      <w:pPr>
        <w:rPr>
          <w:lang w:eastAsia="ko-KR"/>
        </w:rPr>
      </w:pPr>
    </w:p>
    <w:p w:rsidR="006A2EFE" w:rsidRDefault="006A2EFE" w:rsidP="006A2EFE">
      <w:pPr>
        <w:rPr>
          <w:lang w:eastAsia="ko-KR"/>
        </w:rPr>
      </w:pPr>
    </w:p>
    <w:p w:rsidR="006A2EFE" w:rsidRPr="006A2EFE" w:rsidRDefault="009B52DA" w:rsidP="009B52DA">
      <w:pPr>
        <w:jc w:val="center"/>
        <w:rPr>
          <w:lang w:eastAsia="ko-KR"/>
        </w:rPr>
      </w:pPr>
      <w:r w:rsidRPr="0085772C">
        <w:rPr>
          <w:rFonts w:cs="Calibri"/>
        </w:rPr>
        <w:t>Table 2</w:t>
      </w:r>
      <w:r w:rsidRPr="0085772C">
        <w:rPr>
          <w:rFonts w:cs="Calibri" w:hint="eastAsia"/>
        </w:rPr>
        <w:t xml:space="preserve">: </w:t>
      </w:r>
      <w:r w:rsidRPr="0085772C">
        <w:rPr>
          <w:rFonts w:cs="Calibri"/>
        </w:rPr>
        <w:t>One shot detection probability</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794"/>
        <w:gridCol w:w="851"/>
        <w:gridCol w:w="850"/>
        <w:gridCol w:w="777"/>
        <w:gridCol w:w="885"/>
        <w:gridCol w:w="850"/>
      </w:tblGrid>
      <w:tr w:rsidR="00C6784A" w:rsidRPr="00F0793D" w:rsidTr="00C66449">
        <w:trPr>
          <w:jc w:val="center"/>
        </w:trPr>
        <w:tc>
          <w:tcPr>
            <w:tcW w:w="1338" w:type="dxa"/>
            <w:vMerge w:val="restart"/>
            <w:tcBorders>
              <w:top w:val="single" w:sz="12" w:space="0" w:color="auto"/>
              <w:left w:val="single" w:sz="12" w:space="0" w:color="auto"/>
              <w:right w:val="single" w:sz="12" w:space="0" w:color="auto"/>
              <w:tl2br w:val="single" w:sz="12" w:space="0" w:color="auto"/>
            </w:tcBorders>
            <w:shd w:val="clear" w:color="auto" w:fill="BFBFBF"/>
          </w:tcPr>
          <w:p w:rsidR="00C6784A" w:rsidRDefault="00C6784A" w:rsidP="00C66449">
            <w:pPr>
              <w:widowControl w:val="0"/>
              <w:spacing w:after="0"/>
              <w:jc w:val="right"/>
              <w:rPr>
                <w:kern w:val="2"/>
              </w:rPr>
            </w:pPr>
            <w:r>
              <w:rPr>
                <w:kern w:val="2"/>
              </w:rPr>
              <w:t>SINR</w:t>
            </w:r>
          </w:p>
          <w:p w:rsidR="00C6784A" w:rsidRPr="00F0793D" w:rsidRDefault="00C6784A" w:rsidP="00C66449">
            <w:pPr>
              <w:widowControl w:val="0"/>
              <w:spacing w:after="0"/>
              <w:jc w:val="right"/>
              <w:rPr>
                <w:kern w:val="2"/>
              </w:rPr>
            </w:pPr>
            <w:r>
              <w:rPr>
                <w:kern w:val="2"/>
              </w:rPr>
              <w:t>(dB)</w:t>
            </w:r>
          </w:p>
          <w:p w:rsidR="00C6784A" w:rsidRPr="00F0793D" w:rsidRDefault="00C6784A" w:rsidP="00C66449">
            <w:pPr>
              <w:widowControl w:val="0"/>
              <w:spacing w:after="0"/>
              <w:jc w:val="both"/>
              <w:rPr>
                <w:rFonts w:eastAsia="Malgun Gothic" w:cs="Calibri"/>
                <w:kern w:val="2"/>
                <w:lang w:eastAsia="ko-KR"/>
              </w:rPr>
            </w:pPr>
            <w:r>
              <w:rPr>
                <w:rFonts w:eastAsia="Malgun Gothic" w:cs="Calibri"/>
                <w:kern w:val="2"/>
                <w:lang w:eastAsia="ko-KR"/>
              </w:rPr>
              <w:t>Channel</w:t>
            </w:r>
          </w:p>
        </w:tc>
        <w:tc>
          <w:tcPr>
            <w:tcW w:w="2495" w:type="dxa"/>
            <w:gridSpan w:val="3"/>
            <w:tcBorders>
              <w:top w:val="single" w:sz="12" w:space="0" w:color="auto"/>
              <w:left w:val="single" w:sz="12" w:space="0" w:color="auto"/>
              <w:right w:val="single" w:sz="12" w:space="0" w:color="auto"/>
            </w:tcBorders>
            <w:shd w:val="clear" w:color="auto" w:fill="BFBFBF"/>
          </w:tcPr>
          <w:p w:rsidR="00C6784A" w:rsidRPr="00F0793D" w:rsidRDefault="00C6784A" w:rsidP="00D609C6">
            <w:pPr>
              <w:widowControl w:val="0"/>
              <w:spacing w:after="0"/>
              <w:jc w:val="center"/>
              <w:rPr>
                <w:rFonts w:cs="Calibri"/>
                <w:kern w:val="2"/>
              </w:rPr>
            </w:pPr>
            <w:r>
              <w:rPr>
                <w:rFonts w:cs="Calibri"/>
                <w:kern w:val="2"/>
              </w:rPr>
              <w:t>S</w:t>
            </w:r>
            <w:r w:rsidR="00D609C6">
              <w:rPr>
                <w:rFonts w:cs="Calibri"/>
                <w:kern w:val="2"/>
              </w:rPr>
              <w:t>C</w:t>
            </w:r>
            <w:r>
              <w:rPr>
                <w:rFonts w:cs="Calibri"/>
                <w:kern w:val="2"/>
              </w:rPr>
              <w:t>S=15KHz</w:t>
            </w:r>
          </w:p>
        </w:tc>
        <w:tc>
          <w:tcPr>
            <w:tcW w:w="2512" w:type="dxa"/>
            <w:gridSpan w:val="3"/>
            <w:tcBorders>
              <w:top w:val="single" w:sz="12" w:space="0" w:color="auto"/>
              <w:left w:val="single" w:sz="12" w:space="0" w:color="auto"/>
              <w:bottom w:val="single" w:sz="12" w:space="0" w:color="auto"/>
              <w:right w:val="single" w:sz="12" w:space="0" w:color="auto"/>
            </w:tcBorders>
            <w:shd w:val="clear" w:color="auto" w:fill="BFBFBF"/>
          </w:tcPr>
          <w:p w:rsidR="00C6784A" w:rsidRPr="00F0793D" w:rsidRDefault="00C6784A" w:rsidP="00B554AC">
            <w:pPr>
              <w:widowControl w:val="0"/>
              <w:spacing w:after="0"/>
              <w:jc w:val="center"/>
              <w:rPr>
                <w:rFonts w:cs="Calibri"/>
                <w:kern w:val="2"/>
              </w:rPr>
            </w:pPr>
            <w:r>
              <w:rPr>
                <w:rFonts w:cs="Calibri"/>
                <w:kern w:val="2"/>
              </w:rPr>
              <w:t>S</w:t>
            </w:r>
            <w:r w:rsidR="00B554AC">
              <w:rPr>
                <w:rFonts w:cs="Calibri"/>
                <w:kern w:val="2"/>
              </w:rPr>
              <w:t>C</w:t>
            </w:r>
            <w:r>
              <w:rPr>
                <w:rFonts w:cs="Calibri"/>
                <w:kern w:val="2"/>
              </w:rPr>
              <w:t>S=30KHz</w:t>
            </w:r>
          </w:p>
        </w:tc>
      </w:tr>
      <w:tr w:rsidR="00C6784A" w:rsidRPr="00F0793D" w:rsidTr="00C66449">
        <w:trPr>
          <w:trHeight w:val="161"/>
          <w:jc w:val="center"/>
        </w:trPr>
        <w:tc>
          <w:tcPr>
            <w:tcW w:w="1338" w:type="dxa"/>
            <w:vMerge/>
            <w:tcBorders>
              <w:left w:val="single" w:sz="12" w:space="0" w:color="auto"/>
              <w:bottom w:val="single" w:sz="12" w:space="0" w:color="auto"/>
              <w:right w:val="single" w:sz="12" w:space="0" w:color="auto"/>
            </w:tcBorders>
            <w:shd w:val="clear" w:color="auto" w:fill="BFBFBF"/>
          </w:tcPr>
          <w:p w:rsidR="00C6784A" w:rsidRPr="00F0793D" w:rsidRDefault="00C6784A" w:rsidP="00C66449">
            <w:pPr>
              <w:widowControl w:val="0"/>
              <w:spacing w:after="0"/>
              <w:jc w:val="center"/>
              <w:rPr>
                <w:rFonts w:eastAsia="Malgun Gothic" w:cs="Calibri"/>
                <w:kern w:val="2"/>
                <w:lang w:eastAsia="ko-KR"/>
              </w:rPr>
            </w:pPr>
          </w:p>
        </w:tc>
        <w:tc>
          <w:tcPr>
            <w:tcW w:w="794" w:type="dxa"/>
            <w:tcBorders>
              <w:top w:val="single" w:sz="12" w:space="0" w:color="auto"/>
              <w:left w:val="single" w:sz="12" w:space="0" w:color="auto"/>
              <w:bottom w:val="single" w:sz="12" w:space="0" w:color="auto"/>
            </w:tcBorders>
            <w:shd w:val="clear" w:color="auto" w:fill="BFBFBF"/>
            <w:vAlign w:val="center"/>
          </w:tcPr>
          <w:p w:rsidR="00C6784A" w:rsidRPr="0067584C" w:rsidRDefault="00C6784A" w:rsidP="00C66449">
            <w:pPr>
              <w:widowControl w:val="0"/>
              <w:spacing w:after="0"/>
              <w:jc w:val="center"/>
              <w:rPr>
                <w:rFonts w:cs="Calibri"/>
                <w:kern w:val="2"/>
                <w:sz w:val="20"/>
              </w:rPr>
            </w:pPr>
            <w:r>
              <w:rPr>
                <w:kern w:val="2"/>
                <w:sz w:val="20"/>
              </w:rPr>
              <w:t>-8</w:t>
            </w:r>
          </w:p>
        </w:tc>
        <w:tc>
          <w:tcPr>
            <w:tcW w:w="851" w:type="dxa"/>
            <w:tcBorders>
              <w:top w:val="single" w:sz="12" w:space="0" w:color="auto"/>
              <w:bottom w:val="single" w:sz="12" w:space="0" w:color="auto"/>
            </w:tcBorders>
            <w:shd w:val="clear" w:color="auto" w:fill="BFBFBF"/>
            <w:vAlign w:val="center"/>
          </w:tcPr>
          <w:p w:rsidR="00C6784A" w:rsidRPr="0067584C" w:rsidRDefault="00C6784A" w:rsidP="00C66449">
            <w:pPr>
              <w:widowControl w:val="0"/>
              <w:spacing w:after="0"/>
              <w:jc w:val="center"/>
              <w:rPr>
                <w:rFonts w:cs="Calibri"/>
                <w:kern w:val="2"/>
                <w:sz w:val="20"/>
              </w:rPr>
            </w:pPr>
            <w:r>
              <w:rPr>
                <w:kern w:val="2"/>
                <w:sz w:val="20"/>
              </w:rPr>
              <w:t>-7</w:t>
            </w:r>
          </w:p>
        </w:tc>
        <w:tc>
          <w:tcPr>
            <w:tcW w:w="850" w:type="dxa"/>
            <w:tcBorders>
              <w:top w:val="single" w:sz="12" w:space="0" w:color="auto"/>
              <w:bottom w:val="single" w:sz="12" w:space="0" w:color="auto"/>
              <w:right w:val="single" w:sz="12" w:space="0" w:color="auto"/>
            </w:tcBorders>
            <w:shd w:val="clear" w:color="auto" w:fill="BFBFBF"/>
            <w:vAlign w:val="center"/>
          </w:tcPr>
          <w:p w:rsidR="00C6784A" w:rsidRPr="0067584C" w:rsidRDefault="00C6784A" w:rsidP="00C66449">
            <w:pPr>
              <w:widowControl w:val="0"/>
              <w:spacing w:after="0"/>
              <w:jc w:val="center"/>
              <w:rPr>
                <w:rFonts w:cs="Calibri"/>
                <w:kern w:val="2"/>
                <w:sz w:val="20"/>
              </w:rPr>
            </w:pPr>
            <w:r>
              <w:rPr>
                <w:kern w:val="2"/>
                <w:sz w:val="20"/>
              </w:rPr>
              <w:t>-6</w:t>
            </w:r>
          </w:p>
        </w:tc>
        <w:tc>
          <w:tcPr>
            <w:tcW w:w="777" w:type="dxa"/>
            <w:tcBorders>
              <w:top w:val="single" w:sz="12" w:space="0" w:color="auto"/>
              <w:left w:val="single" w:sz="12" w:space="0" w:color="auto"/>
              <w:bottom w:val="single" w:sz="12" w:space="0" w:color="auto"/>
            </w:tcBorders>
            <w:shd w:val="clear" w:color="auto" w:fill="BFBFBF"/>
            <w:vAlign w:val="center"/>
          </w:tcPr>
          <w:p w:rsidR="00C6784A" w:rsidRPr="0067584C" w:rsidRDefault="00C6784A" w:rsidP="00C66449">
            <w:pPr>
              <w:widowControl w:val="0"/>
              <w:spacing w:after="0"/>
              <w:jc w:val="center"/>
              <w:rPr>
                <w:rFonts w:cs="Calibri"/>
                <w:kern w:val="2"/>
                <w:sz w:val="20"/>
              </w:rPr>
            </w:pPr>
            <w:r>
              <w:rPr>
                <w:kern w:val="2"/>
                <w:sz w:val="20"/>
              </w:rPr>
              <w:t>-8</w:t>
            </w:r>
          </w:p>
        </w:tc>
        <w:tc>
          <w:tcPr>
            <w:tcW w:w="885" w:type="dxa"/>
            <w:tcBorders>
              <w:top w:val="single" w:sz="12" w:space="0" w:color="auto"/>
              <w:bottom w:val="single" w:sz="12" w:space="0" w:color="auto"/>
            </w:tcBorders>
            <w:shd w:val="clear" w:color="auto" w:fill="BFBFBF"/>
            <w:vAlign w:val="center"/>
          </w:tcPr>
          <w:p w:rsidR="00C6784A" w:rsidRPr="0067584C" w:rsidRDefault="00C6784A" w:rsidP="00C66449">
            <w:pPr>
              <w:widowControl w:val="0"/>
              <w:spacing w:after="0"/>
              <w:jc w:val="center"/>
              <w:rPr>
                <w:rFonts w:cs="Calibri"/>
                <w:kern w:val="2"/>
                <w:sz w:val="20"/>
              </w:rPr>
            </w:pPr>
            <w:r>
              <w:rPr>
                <w:kern w:val="2"/>
                <w:sz w:val="20"/>
              </w:rPr>
              <w:t>-7</w:t>
            </w:r>
          </w:p>
        </w:tc>
        <w:tc>
          <w:tcPr>
            <w:tcW w:w="850" w:type="dxa"/>
            <w:tcBorders>
              <w:top w:val="single" w:sz="12" w:space="0" w:color="auto"/>
              <w:bottom w:val="single" w:sz="12" w:space="0" w:color="auto"/>
              <w:right w:val="single" w:sz="12" w:space="0" w:color="auto"/>
            </w:tcBorders>
            <w:shd w:val="clear" w:color="auto" w:fill="BFBFBF"/>
            <w:vAlign w:val="center"/>
          </w:tcPr>
          <w:p w:rsidR="00C6784A" w:rsidRPr="0067584C" w:rsidRDefault="00C6784A" w:rsidP="00C66449">
            <w:pPr>
              <w:widowControl w:val="0"/>
              <w:spacing w:after="0"/>
              <w:jc w:val="center"/>
              <w:rPr>
                <w:rFonts w:cs="Calibri"/>
                <w:kern w:val="2"/>
                <w:sz w:val="20"/>
              </w:rPr>
            </w:pPr>
            <w:r>
              <w:rPr>
                <w:kern w:val="2"/>
                <w:sz w:val="20"/>
              </w:rPr>
              <w:t>-6</w:t>
            </w:r>
          </w:p>
        </w:tc>
      </w:tr>
      <w:tr w:rsidR="00097DFB" w:rsidRPr="00F0793D" w:rsidTr="00C66449">
        <w:trPr>
          <w:jc w:val="center"/>
        </w:trPr>
        <w:tc>
          <w:tcPr>
            <w:tcW w:w="1338" w:type="dxa"/>
            <w:tcBorders>
              <w:top w:val="single" w:sz="12" w:space="0" w:color="auto"/>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AWGN</w:t>
            </w:r>
          </w:p>
        </w:tc>
        <w:tc>
          <w:tcPr>
            <w:tcW w:w="794" w:type="dxa"/>
            <w:tcBorders>
              <w:top w:val="single" w:sz="12" w:space="0" w:color="auto"/>
              <w:left w:val="single" w:sz="12" w:space="0" w:color="auto"/>
            </w:tcBorders>
            <w:shd w:val="clear" w:color="auto" w:fill="auto"/>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99.3%</w:t>
            </w:r>
          </w:p>
        </w:tc>
        <w:tc>
          <w:tcPr>
            <w:tcW w:w="851" w:type="dxa"/>
            <w:tcBorders>
              <w:top w:val="single" w:sz="12" w:space="0" w:color="auto"/>
            </w:tcBorders>
          </w:tcPr>
          <w:p w:rsidR="00097DFB" w:rsidRPr="00C6784A" w:rsidRDefault="00097DFB" w:rsidP="00097DFB">
            <w:pPr>
              <w:widowControl w:val="0"/>
              <w:spacing w:after="0"/>
              <w:jc w:val="center"/>
              <w:rPr>
                <w:rFonts w:eastAsia="Malgun Gothic" w:cs="Calibri"/>
                <w:kern w:val="2"/>
                <w:lang w:eastAsia="ko-KR"/>
              </w:rPr>
            </w:pPr>
            <w:r>
              <w:rPr>
                <w:rFonts w:eastAsia="Malgun Gothic" w:cs="Calibri"/>
                <w:kern w:val="2"/>
                <w:lang w:eastAsia="ko-KR"/>
              </w:rPr>
              <w:t>99.9%</w:t>
            </w:r>
          </w:p>
        </w:tc>
        <w:tc>
          <w:tcPr>
            <w:tcW w:w="850" w:type="dxa"/>
            <w:tcBorders>
              <w:top w:val="single" w:sz="12" w:space="0" w:color="auto"/>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100%</w:t>
            </w:r>
          </w:p>
        </w:tc>
        <w:tc>
          <w:tcPr>
            <w:tcW w:w="777" w:type="dxa"/>
            <w:tcBorders>
              <w:top w:val="single" w:sz="12" w:space="0" w:color="auto"/>
              <w:left w:val="single" w:sz="12" w:space="0" w:color="auto"/>
            </w:tcBorders>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99.6%</w:t>
            </w:r>
          </w:p>
        </w:tc>
        <w:tc>
          <w:tcPr>
            <w:tcW w:w="885" w:type="dxa"/>
            <w:tcBorders>
              <w:top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100%</w:t>
            </w:r>
          </w:p>
        </w:tc>
        <w:tc>
          <w:tcPr>
            <w:tcW w:w="850" w:type="dxa"/>
            <w:tcBorders>
              <w:top w:val="single" w:sz="12" w:space="0" w:color="auto"/>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100%</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EPA5</w:t>
            </w:r>
          </w:p>
        </w:tc>
        <w:tc>
          <w:tcPr>
            <w:tcW w:w="794" w:type="dxa"/>
            <w:tcBorders>
              <w:left w:val="single" w:sz="12" w:space="0" w:color="auto"/>
            </w:tcBorders>
            <w:shd w:val="clear" w:color="auto" w:fill="auto"/>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74.2%</w:t>
            </w:r>
          </w:p>
        </w:tc>
        <w:tc>
          <w:tcPr>
            <w:tcW w:w="851"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81.9%</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86.7%</w:t>
            </w:r>
          </w:p>
        </w:tc>
        <w:tc>
          <w:tcPr>
            <w:tcW w:w="777" w:type="dxa"/>
            <w:tcBorders>
              <w:left w:val="single" w:sz="12" w:space="0" w:color="auto"/>
            </w:tcBorders>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70.8%</w:t>
            </w:r>
          </w:p>
        </w:tc>
        <w:tc>
          <w:tcPr>
            <w:tcW w:w="885"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79.8%</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86.2%</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ETU30</w:t>
            </w:r>
          </w:p>
        </w:tc>
        <w:tc>
          <w:tcPr>
            <w:tcW w:w="794" w:type="dxa"/>
            <w:tcBorders>
              <w:left w:val="single" w:sz="12" w:space="0" w:color="auto"/>
            </w:tcBorders>
            <w:shd w:val="clear" w:color="auto" w:fill="auto"/>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52.3%</w:t>
            </w:r>
          </w:p>
        </w:tc>
        <w:tc>
          <w:tcPr>
            <w:tcW w:w="851"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66.8%</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75.5%</w:t>
            </w:r>
          </w:p>
        </w:tc>
        <w:tc>
          <w:tcPr>
            <w:tcW w:w="777" w:type="dxa"/>
            <w:tcBorders>
              <w:left w:val="single" w:sz="12" w:space="0" w:color="auto"/>
            </w:tcBorders>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36.1%</w:t>
            </w:r>
          </w:p>
        </w:tc>
        <w:tc>
          <w:tcPr>
            <w:tcW w:w="885"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50.8%</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64.6%</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TDL-A(5Hz)</w:t>
            </w:r>
          </w:p>
        </w:tc>
        <w:tc>
          <w:tcPr>
            <w:tcW w:w="794" w:type="dxa"/>
            <w:tcBorders>
              <w:left w:val="single" w:sz="12" w:space="0" w:color="auto"/>
            </w:tcBorders>
            <w:shd w:val="clear" w:color="auto" w:fill="auto"/>
          </w:tcPr>
          <w:p w:rsidR="00097DFB" w:rsidRPr="000D4B1B" w:rsidRDefault="00097DFB" w:rsidP="00097DFB">
            <w:pPr>
              <w:widowControl w:val="0"/>
              <w:spacing w:after="0"/>
              <w:jc w:val="center"/>
              <w:rPr>
                <w:rFonts w:eastAsia="Malgun Gothic" w:cs="Calibri"/>
                <w:kern w:val="2"/>
                <w:lang w:eastAsia="ko-KR"/>
              </w:rPr>
            </w:pPr>
            <w:r>
              <w:rPr>
                <w:rFonts w:eastAsia="Malgun Gothic" w:cs="Calibri"/>
                <w:kern w:val="2"/>
                <w:lang w:eastAsia="ko-KR"/>
              </w:rPr>
              <w:t>75.4%</w:t>
            </w:r>
          </w:p>
        </w:tc>
        <w:tc>
          <w:tcPr>
            <w:tcW w:w="851" w:type="dxa"/>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81.4%</w:t>
            </w:r>
          </w:p>
        </w:tc>
        <w:tc>
          <w:tcPr>
            <w:tcW w:w="850" w:type="dxa"/>
            <w:tcBorders>
              <w:right w:val="single" w:sz="12" w:space="0" w:color="auto"/>
            </w:tcBorders>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86.9%</w:t>
            </w:r>
          </w:p>
        </w:tc>
        <w:tc>
          <w:tcPr>
            <w:tcW w:w="777" w:type="dxa"/>
            <w:tcBorders>
              <w:left w:val="single" w:sz="12" w:space="0" w:color="auto"/>
            </w:tcBorders>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69.3%</w:t>
            </w:r>
          </w:p>
        </w:tc>
        <w:tc>
          <w:tcPr>
            <w:tcW w:w="885"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81.4%</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86.4%</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484452" w:rsidRDefault="00097DFB" w:rsidP="00097DFB">
            <w:pPr>
              <w:widowControl w:val="0"/>
              <w:spacing w:after="0"/>
              <w:jc w:val="center"/>
              <w:rPr>
                <w:rFonts w:cs="Calibri"/>
                <w:kern w:val="2"/>
              </w:rPr>
            </w:pPr>
            <w:r w:rsidRPr="00484452">
              <w:rPr>
                <w:rFonts w:cs="Calibri"/>
                <w:kern w:val="2"/>
              </w:rPr>
              <w:t>TDL-B</w:t>
            </w:r>
            <w:r w:rsidRPr="00484452">
              <w:rPr>
                <w:rFonts w:eastAsia="Malgun Gothic" w:cs="Calibri"/>
                <w:kern w:val="2"/>
                <w:lang w:eastAsia="ko-KR"/>
              </w:rPr>
              <w:t>(5Hz)</w:t>
            </w:r>
          </w:p>
        </w:tc>
        <w:tc>
          <w:tcPr>
            <w:tcW w:w="794" w:type="dxa"/>
            <w:tcBorders>
              <w:left w:val="single" w:sz="12" w:space="0" w:color="auto"/>
            </w:tcBorders>
            <w:shd w:val="clear" w:color="auto" w:fill="auto"/>
          </w:tcPr>
          <w:p w:rsidR="00097DFB" w:rsidRPr="00484452" w:rsidRDefault="00097DFB" w:rsidP="00097DFB">
            <w:pPr>
              <w:widowControl w:val="0"/>
              <w:spacing w:after="0"/>
              <w:jc w:val="center"/>
              <w:rPr>
                <w:rFonts w:eastAsia="Malgun Gothic" w:cs="Calibri"/>
                <w:kern w:val="2"/>
                <w:lang w:eastAsia="ko-KR"/>
              </w:rPr>
            </w:pPr>
            <w:r w:rsidRPr="00484452">
              <w:rPr>
                <w:rFonts w:eastAsia="Malgun Gothic" w:cs="Calibri"/>
                <w:kern w:val="2"/>
                <w:lang w:eastAsia="ko-KR"/>
              </w:rPr>
              <w:t>71.4%</w:t>
            </w:r>
          </w:p>
        </w:tc>
        <w:tc>
          <w:tcPr>
            <w:tcW w:w="851" w:type="dxa"/>
          </w:tcPr>
          <w:p w:rsidR="00097DFB" w:rsidRPr="00484452" w:rsidRDefault="00097DFB" w:rsidP="00097DFB">
            <w:pPr>
              <w:widowControl w:val="0"/>
              <w:spacing w:after="0"/>
              <w:jc w:val="center"/>
              <w:rPr>
                <w:rFonts w:eastAsia="Malgun Gothic" w:cs="Calibri"/>
                <w:kern w:val="2"/>
                <w:lang w:eastAsia="ko-KR"/>
              </w:rPr>
            </w:pPr>
            <w:r w:rsidRPr="00484452">
              <w:rPr>
                <w:rFonts w:eastAsia="Malgun Gothic" w:cs="Calibri"/>
                <w:kern w:val="2"/>
                <w:lang w:eastAsia="ko-KR"/>
              </w:rPr>
              <w:t>76.8%</w:t>
            </w:r>
          </w:p>
        </w:tc>
        <w:tc>
          <w:tcPr>
            <w:tcW w:w="850" w:type="dxa"/>
            <w:tcBorders>
              <w:right w:val="single" w:sz="12" w:space="0" w:color="auto"/>
            </w:tcBorders>
          </w:tcPr>
          <w:p w:rsidR="00097DFB" w:rsidRPr="00484452" w:rsidRDefault="00097DFB" w:rsidP="00097DFB">
            <w:pPr>
              <w:widowControl w:val="0"/>
              <w:spacing w:after="0"/>
              <w:jc w:val="center"/>
              <w:rPr>
                <w:rFonts w:eastAsia="Malgun Gothic" w:cs="Calibri"/>
                <w:kern w:val="2"/>
                <w:lang w:eastAsia="ko-KR"/>
              </w:rPr>
            </w:pPr>
            <w:r w:rsidRPr="00484452">
              <w:rPr>
                <w:rFonts w:eastAsia="Malgun Gothic" w:cs="Calibri"/>
                <w:kern w:val="2"/>
                <w:lang w:eastAsia="ko-KR"/>
              </w:rPr>
              <w:t>82.6%</w:t>
            </w:r>
          </w:p>
        </w:tc>
        <w:tc>
          <w:tcPr>
            <w:tcW w:w="777" w:type="dxa"/>
            <w:tcBorders>
              <w:left w:val="single" w:sz="12" w:space="0" w:color="auto"/>
            </w:tcBorders>
          </w:tcPr>
          <w:p w:rsidR="00097DFB" w:rsidRPr="00F14835" w:rsidRDefault="00097DFB" w:rsidP="00097DFB">
            <w:pPr>
              <w:widowControl w:val="0"/>
              <w:spacing w:after="0"/>
              <w:jc w:val="center"/>
              <w:rPr>
                <w:rFonts w:eastAsia="Malgun Gothic" w:cs="Calibri"/>
                <w:kern w:val="2"/>
                <w:lang w:eastAsia="ko-KR"/>
              </w:rPr>
            </w:pPr>
            <w:r>
              <w:rPr>
                <w:rFonts w:eastAsia="Malgun Gothic" w:cs="Calibri"/>
                <w:kern w:val="2"/>
                <w:lang w:eastAsia="ko-KR"/>
              </w:rPr>
              <w:t>71.1%</w:t>
            </w:r>
          </w:p>
        </w:tc>
        <w:tc>
          <w:tcPr>
            <w:tcW w:w="885" w:type="dxa"/>
          </w:tcPr>
          <w:p w:rsidR="00097DFB" w:rsidRPr="00F14835" w:rsidRDefault="00097DFB" w:rsidP="00097DFB">
            <w:pPr>
              <w:widowControl w:val="0"/>
              <w:spacing w:after="0"/>
              <w:jc w:val="center"/>
              <w:rPr>
                <w:rFonts w:eastAsia="Malgun Gothic" w:cs="Calibri"/>
                <w:kern w:val="2"/>
                <w:lang w:eastAsia="ko-KR"/>
              </w:rPr>
            </w:pPr>
            <w:r w:rsidRPr="00F14835">
              <w:rPr>
                <w:rFonts w:eastAsia="Malgun Gothic" w:cs="Calibri"/>
                <w:kern w:val="2"/>
                <w:lang w:eastAsia="ko-KR"/>
              </w:rPr>
              <w:t>78.9%</w:t>
            </w:r>
          </w:p>
        </w:tc>
        <w:tc>
          <w:tcPr>
            <w:tcW w:w="850" w:type="dxa"/>
            <w:tcBorders>
              <w:right w:val="single" w:sz="12" w:space="0" w:color="auto"/>
            </w:tcBorders>
          </w:tcPr>
          <w:p w:rsidR="00097DFB" w:rsidRPr="00F14835" w:rsidRDefault="00097DFB" w:rsidP="00097DFB">
            <w:pPr>
              <w:widowControl w:val="0"/>
              <w:spacing w:after="0"/>
              <w:jc w:val="center"/>
              <w:rPr>
                <w:rFonts w:eastAsia="Malgun Gothic" w:cs="Calibri"/>
                <w:kern w:val="2"/>
                <w:lang w:eastAsia="ko-KR"/>
              </w:rPr>
            </w:pPr>
            <w:r w:rsidRPr="00F14835">
              <w:rPr>
                <w:rFonts w:eastAsia="Malgun Gothic" w:cs="Calibri"/>
                <w:kern w:val="2"/>
                <w:lang w:eastAsia="ko-KR"/>
              </w:rPr>
              <w:t>86.5%</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TDL-C(5Hz)</w:t>
            </w:r>
          </w:p>
        </w:tc>
        <w:tc>
          <w:tcPr>
            <w:tcW w:w="794" w:type="dxa"/>
            <w:tcBorders>
              <w:left w:val="single" w:sz="12" w:space="0" w:color="auto"/>
            </w:tcBorders>
            <w:shd w:val="clear" w:color="auto" w:fill="auto"/>
          </w:tcPr>
          <w:p w:rsidR="00097DFB" w:rsidRPr="000D4B1B" w:rsidRDefault="00097DFB" w:rsidP="00097DFB">
            <w:pPr>
              <w:widowControl w:val="0"/>
              <w:spacing w:after="0"/>
              <w:jc w:val="center"/>
              <w:rPr>
                <w:rFonts w:eastAsia="Malgun Gothic" w:cs="Calibri"/>
                <w:kern w:val="2"/>
                <w:lang w:eastAsia="ko-KR"/>
              </w:rPr>
            </w:pPr>
            <w:r>
              <w:rPr>
                <w:rFonts w:eastAsia="Malgun Gothic" w:cs="Calibri"/>
                <w:kern w:val="2"/>
                <w:lang w:eastAsia="ko-KR"/>
              </w:rPr>
              <w:t>79.5%</w:t>
            </w:r>
          </w:p>
        </w:tc>
        <w:tc>
          <w:tcPr>
            <w:tcW w:w="851" w:type="dxa"/>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85.5%</w:t>
            </w:r>
          </w:p>
        </w:tc>
        <w:tc>
          <w:tcPr>
            <w:tcW w:w="850" w:type="dxa"/>
            <w:tcBorders>
              <w:right w:val="single" w:sz="12" w:space="0" w:color="auto"/>
            </w:tcBorders>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91.4%</w:t>
            </w:r>
          </w:p>
        </w:tc>
        <w:tc>
          <w:tcPr>
            <w:tcW w:w="777" w:type="dxa"/>
            <w:tcBorders>
              <w:left w:val="single" w:sz="12" w:space="0" w:color="auto"/>
            </w:tcBorders>
          </w:tcPr>
          <w:p w:rsidR="00097DFB" w:rsidRDefault="006359B9" w:rsidP="00650C35">
            <w:pPr>
              <w:widowControl w:val="0"/>
              <w:spacing w:after="0"/>
              <w:jc w:val="center"/>
              <w:rPr>
                <w:rFonts w:eastAsia="Malgun Gothic" w:cs="Calibri"/>
                <w:kern w:val="2"/>
                <w:lang w:eastAsia="ko-KR"/>
              </w:rPr>
            </w:pPr>
            <w:r>
              <w:rPr>
                <w:rFonts w:eastAsia="Malgun Gothic" w:cs="Calibri"/>
                <w:kern w:val="2"/>
                <w:lang w:eastAsia="ko-KR"/>
              </w:rPr>
              <w:t>7</w:t>
            </w:r>
            <w:r w:rsidR="00650C35">
              <w:rPr>
                <w:rFonts w:eastAsia="Malgun Gothic" w:cs="Calibri"/>
                <w:kern w:val="2"/>
                <w:lang w:eastAsia="ko-KR"/>
              </w:rPr>
              <w:t>9</w:t>
            </w:r>
            <w:r>
              <w:rPr>
                <w:rFonts w:eastAsia="Malgun Gothic" w:cs="Calibri"/>
                <w:kern w:val="2"/>
                <w:lang w:eastAsia="ko-KR"/>
              </w:rPr>
              <w:t>.</w:t>
            </w:r>
            <w:r w:rsidR="00650C35">
              <w:rPr>
                <w:rFonts w:eastAsia="Malgun Gothic" w:cs="Calibri"/>
                <w:kern w:val="2"/>
                <w:lang w:eastAsia="ko-KR"/>
              </w:rPr>
              <w:t>2</w:t>
            </w:r>
            <w:r>
              <w:rPr>
                <w:rFonts w:eastAsia="Malgun Gothic" w:cs="Calibri"/>
                <w:kern w:val="2"/>
                <w:lang w:eastAsia="ko-KR"/>
              </w:rPr>
              <w:t>%</w:t>
            </w:r>
          </w:p>
        </w:tc>
        <w:tc>
          <w:tcPr>
            <w:tcW w:w="885"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85%</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89.4%</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TDL-A(30Hz)</w:t>
            </w:r>
          </w:p>
        </w:tc>
        <w:tc>
          <w:tcPr>
            <w:tcW w:w="794" w:type="dxa"/>
            <w:tcBorders>
              <w:left w:val="single" w:sz="12" w:space="0" w:color="auto"/>
            </w:tcBorders>
            <w:shd w:val="clear" w:color="auto" w:fill="auto"/>
          </w:tcPr>
          <w:p w:rsidR="00097DFB" w:rsidRPr="000D4B1B" w:rsidRDefault="00097DFB" w:rsidP="00097DFB">
            <w:pPr>
              <w:widowControl w:val="0"/>
              <w:spacing w:after="0"/>
              <w:jc w:val="center"/>
              <w:rPr>
                <w:rFonts w:eastAsia="Malgun Gothic" w:cs="Calibri"/>
                <w:kern w:val="2"/>
                <w:lang w:eastAsia="ko-KR"/>
              </w:rPr>
            </w:pPr>
            <w:r>
              <w:rPr>
                <w:rFonts w:eastAsia="Malgun Gothic" w:cs="Calibri"/>
                <w:kern w:val="2"/>
                <w:lang w:eastAsia="ko-KR"/>
              </w:rPr>
              <w:t>68.4%</w:t>
            </w:r>
          </w:p>
        </w:tc>
        <w:tc>
          <w:tcPr>
            <w:tcW w:w="851" w:type="dxa"/>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77.3%</w:t>
            </w:r>
          </w:p>
        </w:tc>
        <w:tc>
          <w:tcPr>
            <w:tcW w:w="850" w:type="dxa"/>
            <w:tcBorders>
              <w:right w:val="single" w:sz="12" w:space="0" w:color="auto"/>
            </w:tcBorders>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84.4%</w:t>
            </w:r>
          </w:p>
        </w:tc>
        <w:tc>
          <w:tcPr>
            <w:tcW w:w="777" w:type="dxa"/>
            <w:tcBorders>
              <w:left w:val="single" w:sz="12" w:space="0" w:color="auto"/>
            </w:tcBorders>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62.4%</w:t>
            </w:r>
          </w:p>
        </w:tc>
        <w:tc>
          <w:tcPr>
            <w:tcW w:w="885"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70.8%</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80%</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484452" w:rsidRDefault="00097DFB" w:rsidP="00097DFB">
            <w:pPr>
              <w:widowControl w:val="0"/>
              <w:spacing w:after="0"/>
              <w:jc w:val="center"/>
              <w:rPr>
                <w:rFonts w:cs="Calibri"/>
                <w:kern w:val="2"/>
              </w:rPr>
            </w:pPr>
            <w:r w:rsidRPr="00484452">
              <w:rPr>
                <w:rFonts w:cs="Calibri"/>
                <w:kern w:val="2"/>
              </w:rPr>
              <w:t>TDL-B</w:t>
            </w:r>
            <w:r w:rsidRPr="00484452">
              <w:rPr>
                <w:rFonts w:eastAsia="Malgun Gothic" w:cs="Calibri"/>
                <w:kern w:val="2"/>
                <w:lang w:eastAsia="ko-KR"/>
              </w:rPr>
              <w:t>(30Hz)</w:t>
            </w:r>
          </w:p>
        </w:tc>
        <w:tc>
          <w:tcPr>
            <w:tcW w:w="794" w:type="dxa"/>
            <w:tcBorders>
              <w:left w:val="single" w:sz="12" w:space="0" w:color="auto"/>
            </w:tcBorders>
            <w:shd w:val="clear" w:color="auto" w:fill="auto"/>
          </w:tcPr>
          <w:p w:rsidR="00097DFB" w:rsidRPr="00484452" w:rsidRDefault="00097DFB" w:rsidP="00097DFB">
            <w:pPr>
              <w:widowControl w:val="0"/>
              <w:spacing w:after="0"/>
              <w:jc w:val="center"/>
              <w:rPr>
                <w:rFonts w:eastAsia="Malgun Gothic" w:cs="Calibri"/>
                <w:kern w:val="2"/>
                <w:lang w:eastAsia="ko-KR"/>
              </w:rPr>
            </w:pPr>
            <w:r w:rsidRPr="00484452">
              <w:rPr>
                <w:rFonts w:eastAsia="Malgun Gothic" w:cs="Calibri"/>
                <w:kern w:val="2"/>
                <w:lang w:eastAsia="ko-KR"/>
              </w:rPr>
              <w:t>68.8%</w:t>
            </w:r>
          </w:p>
        </w:tc>
        <w:tc>
          <w:tcPr>
            <w:tcW w:w="851" w:type="dxa"/>
          </w:tcPr>
          <w:p w:rsidR="00097DFB" w:rsidRPr="00484452" w:rsidRDefault="00097DFB" w:rsidP="00097DFB">
            <w:pPr>
              <w:widowControl w:val="0"/>
              <w:spacing w:after="0"/>
              <w:jc w:val="center"/>
              <w:rPr>
                <w:rFonts w:eastAsia="Malgun Gothic" w:cs="Calibri"/>
                <w:kern w:val="2"/>
                <w:lang w:eastAsia="ko-KR"/>
              </w:rPr>
            </w:pPr>
            <w:r w:rsidRPr="00484452">
              <w:rPr>
                <w:rFonts w:eastAsia="Malgun Gothic" w:cs="Calibri"/>
                <w:kern w:val="2"/>
                <w:lang w:eastAsia="ko-KR"/>
              </w:rPr>
              <w:t>77%</w:t>
            </w:r>
          </w:p>
        </w:tc>
        <w:tc>
          <w:tcPr>
            <w:tcW w:w="850" w:type="dxa"/>
            <w:tcBorders>
              <w:right w:val="single" w:sz="12" w:space="0" w:color="auto"/>
            </w:tcBorders>
          </w:tcPr>
          <w:p w:rsidR="00097DFB" w:rsidRPr="00484452" w:rsidRDefault="00097DFB" w:rsidP="00097DFB">
            <w:pPr>
              <w:widowControl w:val="0"/>
              <w:spacing w:after="0"/>
              <w:jc w:val="center"/>
              <w:rPr>
                <w:rFonts w:eastAsia="Malgun Gothic" w:cs="Calibri"/>
                <w:kern w:val="2"/>
                <w:lang w:eastAsia="ko-KR"/>
              </w:rPr>
            </w:pPr>
            <w:r w:rsidRPr="00484452">
              <w:rPr>
                <w:rFonts w:eastAsia="Malgun Gothic" w:cs="Calibri"/>
                <w:kern w:val="2"/>
                <w:lang w:eastAsia="ko-KR"/>
              </w:rPr>
              <w:t>82.9%</w:t>
            </w:r>
          </w:p>
        </w:tc>
        <w:tc>
          <w:tcPr>
            <w:tcW w:w="777" w:type="dxa"/>
            <w:tcBorders>
              <w:left w:val="single" w:sz="12" w:space="0" w:color="auto"/>
            </w:tcBorders>
          </w:tcPr>
          <w:p w:rsidR="00097DFB" w:rsidRPr="00F14835" w:rsidRDefault="00097DFB" w:rsidP="00097DFB">
            <w:pPr>
              <w:widowControl w:val="0"/>
              <w:spacing w:after="0"/>
              <w:jc w:val="center"/>
              <w:rPr>
                <w:rFonts w:eastAsia="Malgun Gothic" w:cs="Calibri"/>
                <w:kern w:val="2"/>
                <w:lang w:eastAsia="ko-KR"/>
              </w:rPr>
            </w:pPr>
            <w:r>
              <w:rPr>
                <w:rFonts w:eastAsia="Malgun Gothic" w:cs="Calibri"/>
                <w:kern w:val="2"/>
                <w:lang w:eastAsia="ko-KR"/>
              </w:rPr>
              <w:t>60.7%</w:t>
            </w:r>
          </w:p>
        </w:tc>
        <w:tc>
          <w:tcPr>
            <w:tcW w:w="885" w:type="dxa"/>
          </w:tcPr>
          <w:p w:rsidR="00097DFB" w:rsidRPr="00F14835" w:rsidRDefault="00097DFB" w:rsidP="00097DFB">
            <w:pPr>
              <w:widowControl w:val="0"/>
              <w:spacing w:after="0"/>
              <w:jc w:val="center"/>
              <w:rPr>
                <w:rFonts w:eastAsia="Malgun Gothic" w:cs="Calibri"/>
                <w:kern w:val="2"/>
                <w:lang w:eastAsia="ko-KR"/>
              </w:rPr>
            </w:pPr>
            <w:r w:rsidRPr="00F14835">
              <w:rPr>
                <w:rFonts w:eastAsia="Malgun Gothic" w:cs="Calibri"/>
                <w:kern w:val="2"/>
                <w:lang w:eastAsia="ko-KR"/>
              </w:rPr>
              <w:t>69.5%</w:t>
            </w:r>
          </w:p>
        </w:tc>
        <w:tc>
          <w:tcPr>
            <w:tcW w:w="850" w:type="dxa"/>
            <w:tcBorders>
              <w:right w:val="single" w:sz="12" w:space="0" w:color="auto"/>
            </w:tcBorders>
          </w:tcPr>
          <w:p w:rsidR="00097DFB" w:rsidRPr="00F14835" w:rsidRDefault="00097DFB" w:rsidP="00097DFB">
            <w:pPr>
              <w:widowControl w:val="0"/>
              <w:spacing w:after="0"/>
              <w:jc w:val="center"/>
              <w:rPr>
                <w:rFonts w:eastAsia="Malgun Gothic" w:cs="Calibri"/>
                <w:kern w:val="2"/>
                <w:lang w:eastAsia="ko-KR"/>
              </w:rPr>
            </w:pPr>
            <w:r w:rsidRPr="00F14835">
              <w:rPr>
                <w:rFonts w:eastAsia="Malgun Gothic" w:cs="Calibri"/>
                <w:kern w:val="2"/>
                <w:lang w:eastAsia="ko-KR"/>
              </w:rPr>
              <w:t>78.2%</w:t>
            </w:r>
          </w:p>
        </w:tc>
      </w:tr>
      <w:tr w:rsidR="00097DFB" w:rsidRPr="00F0793D" w:rsidTr="00C66449">
        <w:trPr>
          <w:jc w:val="center"/>
        </w:trPr>
        <w:tc>
          <w:tcPr>
            <w:tcW w:w="1338" w:type="dxa"/>
            <w:tcBorders>
              <w:left w:val="single" w:sz="12" w:space="0" w:color="auto"/>
              <w:right w:val="single" w:sz="12" w:space="0" w:color="auto"/>
            </w:tcBorders>
            <w:shd w:val="clear" w:color="auto" w:fill="BFBFBF"/>
          </w:tcPr>
          <w:p w:rsidR="00097DFB" w:rsidRPr="00F0793D" w:rsidRDefault="00097DFB" w:rsidP="00097DFB">
            <w:pPr>
              <w:widowControl w:val="0"/>
              <w:spacing w:after="0"/>
              <w:jc w:val="center"/>
              <w:rPr>
                <w:rFonts w:eastAsia="Malgun Gothic" w:cs="Calibri"/>
                <w:kern w:val="2"/>
                <w:lang w:eastAsia="ko-KR"/>
              </w:rPr>
            </w:pPr>
            <w:r>
              <w:rPr>
                <w:rFonts w:eastAsia="Malgun Gothic" w:cs="Calibri"/>
                <w:kern w:val="2"/>
                <w:lang w:eastAsia="ko-KR"/>
              </w:rPr>
              <w:t>TDL-C(30Hz)</w:t>
            </w:r>
          </w:p>
        </w:tc>
        <w:tc>
          <w:tcPr>
            <w:tcW w:w="794" w:type="dxa"/>
            <w:tcBorders>
              <w:left w:val="single" w:sz="12" w:space="0" w:color="auto"/>
            </w:tcBorders>
            <w:shd w:val="clear" w:color="auto" w:fill="auto"/>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69.5%</w:t>
            </w:r>
          </w:p>
        </w:tc>
        <w:tc>
          <w:tcPr>
            <w:tcW w:w="851" w:type="dxa"/>
          </w:tcPr>
          <w:p w:rsidR="00097DFB" w:rsidRPr="000D4B1B" w:rsidRDefault="00097DFB" w:rsidP="00097DFB">
            <w:pPr>
              <w:widowControl w:val="0"/>
              <w:spacing w:after="0"/>
              <w:jc w:val="center"/>
              <w:rPr>
                <w:rFonts w:eastAsia="Malgun Gothic" w:cs="Calibri"/>
                <w:kern w:val="2"/>
                <w:lang w:eastAsia="ko-KR"/>
              </w:rPr>
            </w:pPr>
            <w:r>
              <w:rPr>
                <w:rFonts w:eastAsia="Malgun Gothic" w:cs="Calibri"/>
                <w:kern w:val="2"/>
                <w:lang w:eastAsia="ko-KR"/>
              </w:rPr>
              <w:t>77%</w:t>
            </w:r>
          </w:p>
        </w:tc>
        <w:tc>
          <w:tcPr>
            <w:tcW w:w="850" w:type="dxa"/>
            <w:tcBorders>
              <w:right w:val="single" w:sz="12" w:space="0" w:color="auto"/>
            </w:tcBorders>
          </w:tcPr>
          <w:p w:rsidR="00097DFB" w:rsidRPr="000D4B1B" w:rsidRDefault="00097DFB" w:rsidP="00097DFB">
            <w:pPr>
              <w:widowControl w:val="0"/>
              <w:spacing w:after="0"/>
              <w:jc w:val="center"/>
              <w:rPr>
                <w:rFonts w:eastAsia="Malgun Gothic" w:cs="Calibri"/>
                <w:kern w:val="2"/>
                <w:lang w:eastAsia="ko-KR"/>
              </w:rPr>
            </w:pPr>
            <w:r w:rsidRPr="000D4B1B">
              <w:rPr>
                <w:rFonts w:eastAsia="Malgun Gothic" w:cs="Calibri"/>
                <w:kern w:val="2"/>
                <w:lang w:eastAsia="ko-KR"/>
              </w:rPr>
              <w:t>83.7%</w:t>
            </w:r>
          </w:p>
        </w:tc>
        <w:tc>
          <w:tcPr>
            <w:tcW w:w="777" w:type="dxa"/>
            <w:tcBorders>
              <w:left w:val="single" w:sz="12" w:space="0" w:color="auto"/>
            </w:tcBorders>
          </w:tcPr>
          <w:p w:rsidR="00097DFB" w:rsidRDefault="00097DFB" w:rsidP="00097DFB">
            <w:pPr>
              <w:widowControl w:val="0"/>
              <w:spacing w:after="0"/>
              <w:jc w:val="center"/>
              <w:rPr>
                <w:rFonts w:eastAsia="Malgun Gothic" w:cs="Calibri"/>
                <w:kern w:val="2"/>
                <w:lang w:eastAsia="ko-KR"/>
              </w:rPr>
            </w:pPr>
            <w:r>
              <w:rPr>
                <w:rFonts w:eastAsia="Malgun Gothic" w:cs="Calibri"/>
                <w:kern w:val="2"/>
                <w:lang w:eastAsia="ko-KR"/>
              </w:rPr>
              <w:t>68.3%</w:t>
            </w:r>
          </w:p>
        </w:tc>
        <w:tc>
          <w:tcPr>
            <w:tcW w:w="885" w:type="dxa"/>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76.2%</w:t>
            </w:r>
          </w:p>
        </w:tc>
        <w:tc>
          <w:tcPr>
            <w:tcW w:w="850" w:type="dxa"/>
            <w:tcBorders>
              <w:right w:val="single" w:sz="12" w:space="0" w:color="auto"/>
            </w:tcBorders>
          </w:tcPr>
          <w:p w:rsidR="00097DFB" w:rsidRPr="00871108" w:rsidRDefault="00097DFB" w:rsidP="00097DFB">
            <w:pPr>
              <w:widowControl w:val="0"/>
              <w:spacing w:after="0"/>
              <w:jc w:val="center"/>
              <w:rPr>
                <w:rFonts w:eastAsia="Malgun Gothic" w:cs="Calibri"/>
                <w:kern w:val="2"/>
                <w:lang w:eastAsia="ko-KR"/>
              </w:rPr>
            </w:pPr>
            <w:r>
              <w:rPr>
                <w:rFonts w:eastAsia="Malgun Gothic" w:cs="Calibri"/>
                <w:kern w:val="2"/>
                <w:lang w:eastAsia="ko-KR"/>
              </w:rPr>
              <w:t>83%</w:t>
            </w:r>
          </w:p>
        </w:tc>
      </w:tr>
    </w:tbl>
    <w:p w:rsidR="00C6784A" w:rsidRDefault="00C6784A" w:rsidP="006F7557">
      <w:pPr>
        <w:adjustRightInd w:val="0"/>
        <w:snapToGrid w:val="0"/>
        <w:spacing w:before="180"/>
      </w:pPr>
    </w:p>
    <w:p w:rsidR="006F7557" w:rsidRDefault="006F7557" w:rsidP="006F7557">
      <w:pPr>
        <w:adjustRightInd w:val="0"/>
        <w:snapToGrid w:val="0"/>
        <w:spacing w:before="180"/>
      </w:pPr>
      <w:r>
        <w:t xml:space="preserve">From Table </w:t>
      </w:r>
      <w:r w:rsidR="002B773C">
        <w:t xml:space="preserve">1 and </w:t>
      </w:r>
      <w:r w:rsidR="006A2EFE">
        <w:t>2</w:t>
      </w:r>
      <w:r>
        <w:t>, the followings are given:</w:t>
      </w:r>
    </w:p>
    <w:p w:rsidR="00921C83" w:rsidRPr="00921C83" w:rsidRDefault="003350C7" w:rsidP="00921C83">
      <w:pPr>
        <w:adjustRightInd w:val="0"/>
        <w:snapToGrid w:val="0"/>
      </w:pPr>
      <w:r>
        <w:t xml:space="preserve">In </w:t>
      </w:r>
      <w:r w:rsidRPr="00921C83">
        <w:t xml:space="preserve">ETU channel with large </w:t>
      </w:r>
      <w:r>
        <w:t xml:space="preserve">RMS delay spread, the </w:t>
      </w:r>
      <w:r w:rsidR="00DA1D95">
        <w:t>CP will be not enough for larger s</w:t>
      </w:r>
      <w:r w:rsidR="00DA1D95" w:rsidRPr="00921C83">
        <w:t>ubcarrier spacing</w:t>
      </w:r>
      <w:r w:rsidR="00DA1D95">
        <w:t xml:space="preserve">. </w:t>
      </w:r>
      <w:r w:rsidR="00921C83" w:rsidRPr="00921C83">
        <w:t xml:space="preserve">Subcarrier spacing 30 kHz will have poorer performance than subcarrier spacing </w:t>
      </w:r>
      <w:r w:rsidR="00921C83">
        <w:t>15</w:t>
      </w:r>
      <w:r w:rsidR="002E0814">
        <w:t xml:space="preserve"> kHz</w:t>
      </w:r>
      <w:r w:rsidR="009D55C4">
        <w:t xml:space="preserve"> in ETU channel</w:t>
      </w:r>
      <w:r w:rsidR="00921C83">
        <w:t xml:space="preserve">, while the performance </w:t>
      </w:r>
      <w:r w:rsidR="0061406C">
        <w:t>seem</w:t>
      </w:r>
      <w:r w:rsidR="00921C83">
        <w:t>s no</w:t>
      </w:r>
      <w:r w:rsidR="0061406C">
        <w:t>t</w:t>
      </w:r>
      <w:r w:rsidR="00921C83">
        <w:t xml:space="preserve"> </w:t>
      </w:r>
      <w:r w:rsidRPr="003350C7">
        <w:t>significantly</w:t>
      </w:r>
      <w:r>
        <w:t xml:space="preserve"> </w:t>
      </w:r>
      <w:r w:rsidR="00921C83">
        <w:t>impact</w:t>
      </w:r>
      <w:r w:rsidR="0061406C">
        <w:t>ed</w:t>
      </w:r>
      <w:r w:rsidR="00921C83">
        <w:t xml:space="preserve"> </w:t>
      </w:r>
      <w:r>
        <w:t xml:space="preserve">in </w:t>
      </w:r>
      <w:r w:rsidR="00921C83">
        <w:t>other channel profile.</w:t>
      </w:r>
    </w:p>
    <w:p w:rsidR="006F7557" w:rsidRDefault="006F7557" w:rsidP="006F7557">
      <w:pPr>
        <w:adjustRightInd w:val="0"/>
        <w:snapToGrid w:val="0"/>
        <w:rPr>
          <w:b/>
          <w:i/>
        </w:rPr>
      </w:pPr>
      <w:r w:rsidRPr="00C86F5B">
        <w:rPr>
          <w:b/>
          <w:i/>
        </w:rPr>
        <w:t xml:space="preserve">Observation 1: For sub6GHz, </w:t>
      </w:r>
      <w:r w:rsidR="00125226">
        <w:rPr>
          <w:b/>
          <w:i/>
        </w:rPr>
        <w:t xml:space="preserve">the </w:t>
      </w:r>
      <w:r w:rsidR="0061406C">
        <w:rPr>
          <w:b/>
          <w:i/>
        </w:rPr>
        <w:t>impact of</w:t>
      </w:r>
      <w:r w:rsidR="00921C83">
        <w:rPr>
          <w:b/>
          <w:i/>
        </w:rPr>
        <w:t xml:space="preserve"> </w:t>
      </w:r>
      <w:r w:rsidR="0061406C">
        <w:rPr>
          <w:b/>
          <w:i/>
        </w:rPr>
        <w:t>the subcarrier spacing on</w:t>
      </w:r>
      <w:r w:rsidRPr="00C86F5B">
        <w:rPr>
          <w:b/>
          <w:i/>
        </w:rPr>
        <w:t xml:space="preserve"> the NR-PSS/SSS detection time</w:t>
      </w:r>
      <w:r w:rsidR="00921C83">
        <w:rPr>
          <w:b/>
          <w:i/>
        </w:rPr>
        <w:t xml:space="preserve"> depends on the channel profile</w:t>
      </w:r>
      <w:r w:rsidR="003350C7">
        <w:rPr>
          <w:b/>
          <w:i/>
        </w:rPr>
        <w:t>’s delay spread</w:t>
      </w:r>
      <w:r w:rsidRPr="00C86F5B">
        <w:rPr>
          <w:b/>
          <w:i/>
        </w:rPr>
        <w:t>.</w:t>
      </w:r>
    </w:p>
    <w:p w:rsidR="004E4D6D" w:rsidRPr="004E4D6D" w:rsidRDefault="004E4D6D" w:rsidP="006F7557">
      <w:pPr>
        <w:adjustRightInd w:val="0"/>
        <w:snapToGrid w:val="0"/>
      </w:pPr>
      <w:r>
        <w:t>We tried different Doppler s</w:t>
      </w:r>
      <w:r w:rsidR="00E15528">
        <w:t>hift</w:t>
      </w:r>
      <w:r w:rsidR="007B24E1">
        <w:t>s</w:t>
      </w:r>
      <w:r>
        <w:t xml:space="preserve"> for TDL channel profile. It could be found that</w:t>
      </w:r>
      <w:r w:rsidR="00471965">
        <w:t xml:space="preserve"> d</w:t>
      </w:r>
      <w:r w:rsidR="00471965" w:rsidRPr="00471965">
        <w:t>ifferent Doppler shift will result in different cell search performance in TDL channel profile</w:t>
      </w:r>
      <w:r w:rsidR="00471965">
        <w:t xml:space="preserve">. Therefore, we suggest RAN4 to further </w:t>
      </w:r>
      <w:r w:rsidR="00471965" w:rsidRPr="00471965">
        <w:t>Align the TDL channel Doppler shift in simulation assumption</w:t>
      </w:r>
      <w:r w:rsidR="00471965">
        <w:t>.</w:t>
      </w:r>
    </w:p>
    <w:p w:rsidR="00C6784A" w:rsidRPr="00C86F5B" w:rsidRDefault="00C6784A" w:rsidP="006F7557">
      <w:pPr>
        <w:adjustRightInd w:val="0"/>
        <w:snapToGrid w:val="0"/>
        <w:rPr>
          <w:b/>
          <w:i/>
        </w:rPr>
      </w:pPr>
      <w:r w:rsidRPr="00C86F5B">
        <w:rPr>
          <w:b/>
          <w:i/>
        </w:rPr>
        <w:t xml:space="preserve">Observation </w:t>
      </w:r>
      <w:r w:rsidR="004D05A7">
        <w:rPr>
          <w:b/>
          <w:i/>
        </w:rPr>
        <w:t>2</w:t>
      </w:r>
      <w:r w:rsidRPr="00C86F5B">
        <w:rPr>
          <w:b/>
          <w:i/>
        </w:rPr>
        <w:t>: Different Doppler shift will result in different cell search performance</w:t>
      </w:r>
      <w:r w:rsidR="00C86F5B" w:rsidRPr="00C86F5B">
        <w:rPr>
          <w:b/>
          <w:i/>
        </w:rPr>
        <w:t xml:space="preserve"> in TDL channel profile</w:t>
      </w:r>
      <w:r w:rsidRPr="00C86F5B">
        <w:rPr>
          <w:b/>
          <w:i/>
        </w:rPr>
        <w:t>.</w:t>
      </w:r>
    </w:p>
    <w:p w:rsidR="00C6784A" w:rsidRDefault="00C6784A" w:rsidP="006F7557">
      <w:pPr>
        <w:adjustRightInd w:val="0"/>
        <w:snapToGrid w:val="0"/>
        <w:rPr>
          <w:b/>
          <w:i/>
        </w:rPr>
      </w:pPr>
      <w:r w:rsidRPr="00C86F5B">
        <w:rPr>
          <w:b/>
          <w:i/>
        </w:rPr>
        <w:t>Proposal</w:t>
      </w:r>
      <w:r w:rsidR="00C86F5B" w:rsidRPr="00C86F5B">
        <w:rPr>
          <w:b/>
          <w:i/>
        </w:rPr>
        <w:t xml:space="preserve"> 1</w:t>
      </w:r>
      <w:r w:rsidRPr="00C86F5B">
        <w:rPr>
          <w:b/>
          <w:i/>
        </w:rPr>
        <w:t xml:space="preserve">: </w:t>
      </w:r>
      <w:r w:rsidR="0061406C">
        <w:rPr>
          <w:b/>
          <w:i/>
        </w:rPr>
        <w:t>A</w:t>
      </w:r>
      <w:r w:rsidRPr="00C86F5B">
        <w:rPr>
          <w:b/>
          <w:i/>
        </w:rPr>
        <w:t>lign the TDL channel Doppler shift</w:t>
      </w:r>
      <w:r w:rsidR="00C86F5B" w:rsidRPr="00C86F5B">
        <w:rPr>
          <w:b/>
          <w:i/>
        </w:rPr>
        <w:t xml:space="preserve"> in simulation </w:t>
      </w:r>
      <w:r w:rsidR="0061406C">
        <w:rPr>
          <w:b/>
          <w:i/>
        </w:rPr>
        <w:t>assumption</w:t>
      </w:r>
      <w:r w:rsidRPr="00C86F5B">
        <w:rPr>
          <w:b/>
          <w:i/>
        </w:rPr>
        <w:t>.</w:t>
      </w:r>
    </w:p>
    <w:p w:rsidR="004E4D6D" w:rsidRPr="004E4D6D" w:rsidRDefault="004E4D6D" w:rsidP="006F7557">
      <w:pPr>
        <w:adjustRightInd w:val="0"/>
        <w:snapToGrid w:val="0"/>
      </w:pPr>
      <w:r>
        <w:t>One shot simulation could reflects the performance changing m</w:t>
      </w:r>
      <w:r w:rsidRPr="004E4D6D">
        <w:t>ore straightforward</w:t>
      </w:r>
      <w:r>
        <w:t xml:space="preserve"> than </w:t>
      </w:r>
      <w:r w:rsidRPr="0085772C">
        <w:rPr>
          <w:rFonts w:cs="Calibri"/>
        </w:rPr>
        <w:t>90th percentile</w:t>
      </w:r>
      <w:r w:rsidRPr="0085772C">
        <w:rPr>
          <w:rFonts w:cs="Calibri" w:hint="eastAsia"/>
        </w:rPr>
        <w:t xml:space="preserve"> </w:t>
      </w:r>
      <w:r w:rsidRPr="0085772C">
        <w:rPr>
          <w:rFonts w:cs="Calibri"/>
        </w:rPr>
        <w:t>detection delay</w:t>
      </w:r>
      <w:r>
        <w:t xml:space="preserve"> for different channel profile in different company.</w:t>
      </w:r>
      <w:r w:rsidR="00D13769">
        <w:t xml:space="preserve"> Therefore, we think the o</w:t>
      </w:r>
      <w:r w:rsidR="00D13769" w:rsidRPr="00D13769">
        <w:t xml:space="preserve">ne shot performance should </w:t>
      </w:r>
      <w:r w:rsidR="00132D95">
        <w:t xml:space="preserve">also </w:t>
      </w:r>
      <w:r w:rsidR="00D13769" w:rsidRPr="00D13769">
        <w:t>be provided during simulation alignment between companies</w:t>
      </w:r>
      <w:r w:rsidR="00D13769">
        <w:t xml:space="preserve">. </w:t>
      </w:r>
    </w:p>
    <w:p w:rsidR="00C86F5B" w:rsidRPr="00C86F5B" w:rsidRDefault="00C86F5B" w:rsidP="006F7557">
      <w:pPr>
        <w:adjustRightInd w:val="0"/>
        <w:snapToGrid w:val="0"/>
        <w:rPr>
          <w:b/>
          <w:i/>
        </w:rPr>
      </w:pPr>
      <w:r w:rsidRPr="00C86F5B">
        <w:rPr>
          <w:b/>
          <w:i/>
        </w:rPr>
        <w:t xml:space="preserve">Proposal </w:t>
      </w:r>
      <w:r w:rsidR="00AF2226">
        <w:rPr>
          <w:b/>
          <w:i/>
        </w:rPr>
        <w:t>2</w:t>
      </w:r>
      <w:r w:rsidRPr="00C86F5B">
        <w:rPr>
          <w:b/>
          <w:i/>
        </w:rPr>
        <w:t xml:space="preserve">: </w:t>
      </w:r>
      <w:r w:rsidR="0061406C">
        <w:rPr>
          <w:b/>
          <w:i/>
        </w:rPr>
        <w:t>O</w:t>
      </w:r>
      <w:r w:rsidR="00AF2226">
        <w:rPr>
          <w:b/>
          <w:i/>
        </w:rPr>
        <w:t xml:space="preserve">ne shot </w:t>
      </w:r>
      <w:r w:rsidRPr="00C86F5B">
        <w:rPr>
          <w:b/>
          <w:i/>
        </w:rPr>
        <w:t xml:space="preserve">performance </w:t>
      </w:r>
      <w:r w:rsidR="0061406C">
        <w:rPr>
          <w:b/>
          <w:i/>
        </w:rPr>
        <w:t xml:space="preserve">should be provided during simulation alignment </w:t>
      </w:r>
      <w:r w:rsidRPr="00C86F5B">
        <w:rPr>
          <w:b/>
          <w:i/>
        </w:rPr>
        <w:t xml:space="preserve">between </w:t>
      </w:r>
      <w:r w:rsidR="0061406C" w:rsidRPr="00C86F5B">
        <w:rPr>
          <w:b/>
          <w:i/>
        </w:rPr>
        <w:t>compani</w:t>
      </w:r>
      <w:r w:rsidR="0061406C">
        <w:rPr>
          <w:b/>
          <w:i/>
        </w:rPr>
        <w:t>es</w:t>
      </w:r>
      <w:r w:rsidRPr="00C86F5B">
        <w:rPr>
          <w:b/>
          <w:i/>
        </w:rPr>
        <w:t>.</w:t>
      </w:r>
    </w:p>
    <w:p w:rsidR="006F7557" w:rsidRDefault="006F7557" w:rsidP="006F7557">
      <w:pPr>
        <w:adjustRightInd w:val="0"/>
        <w:snapToGrid w:val="0"/>
        <w:rPr>
          <w:b/>
          <w:i/>
        </w:rPr>
      </w:pPr>
      <w:r w:rsidRPr="004D05A7">
        <w:rPr>
          <w:b/>
          <w:i/>
        </w:rPr>
        <w:t xml:space="preserve">Observation </w:t>
      </w:r>
      <w:r w:rsidR="00C86F5B" w:rsidRPr="004D05A7">
        <w:rPr>
          <w:b/>
          <w:i/>
        </w:rPr>
        <w:t>3</w:t>
      </w:r>
      <w:r w:rsidRPr="004D05A7">
        <w:rPr>
          <w:b/>
          <w:i/>
        </w:rPr>
        <w:t xml:space="preserve">: The NR-PSS/SSS detection time </w:t>
      </w:r>
      <w:r w:rsidR="00130DEB">
        <w:rPr>
          <w:b/>
          <w:i/>
        </w:rPr>
        <w:t>seems to be</w:t>
      </w:r>
      <w:r w:rsidRPr="004D05A7">
        <w:rPr>
          <w:b/>
          <w:i/>
        </w:rPr>
        <w:t xml:space="preserve"> accepted by using 2 receivers.</w:t>
      </w:r>
    </w:p>
    <w:p w:rsidR="00AA6C91" w:rsidRPr="00971F69" w:rsidRDefault="00AA6C91" w:rsidP="0085772C">
      <w:pPr>
        <w:rPr>
          <w:b/>
          <w:i/>
          <w:sz w:val="20"/>
          <w:szCs w:val="20"/>
        </w:rPr>
      </w:pPr>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F7557" w:rsidRPr="004D05A7" w:rsidRDefault="006F7557" w:rsidP="004D05A7">
      <w:pPr>
        <w:adjustRightInd w:val="0"/>
        <w:snapToGrid w:val="0"/>
        <w:spacing w:before="180"/>
      </w:pPr>
      <w:r w:rsidRPr="004D05A7">
        <w:rPr>
          <w:rFonts w:hint="eastAsia"/>
        </w:rPr>
        <w:t xml:space="preserve">In this </w:t>
      </w:r>
      <w:r w:rsidRPr="004D05A7">
        <w:t>paper,</w:t>
      </w:r>
      <w:r w:rsidRPr="004D05A7">
        <w:rPr>
          <w:rFonts w:hint="eastAsia"/>
        </w:rPr>
        <w:t xml:space="preserve"> we </w:t>
      </w:r>
      <w:r w:rsidRPr="004D05A7">
        <w:t xml:space="preserve">provided initial results for </w:t>
      </w:r>
      <w:r w:rsidR="000E166B" w:rsidRPr="004D05A7">
        <w:t xml:space="preserve">single cell </w:t>
      </w:r>
      <w:r w:rsidRPr="004D05A7">
        <w:t>PSS/SS detection in NR sub-6G band, for a number of parameter combinations according to the simulation assumptions agreed in [1]. The results should be taken into account when RAN4 discusses the requirements.</w:t>
      </w:r>
    </w:p>
    <w:p w:rsidR="0034222E" w:rsidRDefault="0061406C" w:rsidP="0034222E">
      <w:pPr>
        <w:adjustRightInd w:val="0"/>
        <w:snapToGrid w:val="0"/>
        <w:rPr>
          <w:b/>
          <w:i/>
        </w:rPr>
      </w:pPr>
      <w:r w:rsidRPr="00C86F5B">
        <w:rPr>
          <w:b/>
          <w:i/>
        </w:rPr>
        <w:t xml:space="preserve">Observation 1: For sub6GHz, </w:t>
      </w:r>
      <w:r>
        <w:rPr>
          <w:b/>
          <w:i/>
        </w:rPr>
        <w:t>the impact of the subcarrier spacing on</w:t>
      </w:r>
      <w:r w:rsidRPr="00C86F5B">
        <w:rPr>
          <w:b/>
          <w:i/>
        </w:rPr>
        <w:t xml:space="preserve"> the NR-PSS/SSS detection time</w:t>
      </w:r>
      <w:r>
        <w:rPr>
          <w:b/>
          <w:i/>
        </w:rPr>
        <w:t xml:space="preserve"> depends on the channel profile’s delay spread</w:t>
      </w:r>
      <w:r w:rsidRPr="00C86F5B">
        <w:rPr>
          <w:b/>
          <w:i/>
        </w:rPr>
        <w:t>.</w:t>
      </w:r>
    </w:p>
    <w:p w:rsidR="0061406C" w:rsidRPr="00C86F5B" w:rsidRDefault="0061406C" w:rsidP="0061406C">
      <w:pPr>
        <w:adjustRightInd w:val="0"/>
        <w:snapToGrid w:val="0"/>
        <w:rPr>
          <w:b/>
          <w:i/>
        </w:rPr>
      </w:pPr>
      <w:r w:rsidRPr="00C86F5B">
        <w:rPr>
          <w:b/>
          <w:i/>
        </w:rPr>
        <w:t xml:space="preserve">Observation </w:t>
      </w:r>
      <w:r>
        <w:rPr>
          <w:b/>
          <w:i/>
        </w:rPr>
        <w:t>2</w:t>
      </w:r>
      <w:r w:rsidRPr="00C86F5B">
        <w:rPr>
          <w:b/>
          <w:i/>
        </w:rPr>
        <w:t>: Different Doppler shift will result in different cell search performance in TDL channel profile.</w:t>
      </w:r>
    </w:p>
    <w:p w:rsidR="0061406C" w:rsidRDefault="0061406C" w:rsidP="0061406C">
      <w:pPr>
        <w:adjustRightInd w:val="0"/>
        <w:snapToGrid w:val="0"/>
        <w:rPr>
          <w:b/>
          <w:i/>
        </w:rPr>
      </w:pPr>
      <w:r w:rsidRPr="00C86F5B">
        <w:rPr>
          <w:b/>
          <w:i/>
        </w:rPr>
        <w:t xml:space="preserve">Proposal 1: </w:t>
      </w:r>
      <w:r>
        <w:rPr>
          <w:b/>
          <w:i/>
        </w:rPr>
        <w:t>A</w:t>
      </w:r>
      <w:r w:rsidRPr="00C86F5B">
        <w:rPr>
          <w:b/>
          <w:i/>
        </w:rPr>
        <w:t xml:space="preserve">lign the TDL channel Doppler shift in simulation </w:t>
      </w:r>
      <w:r>
        <w:rPr>
          <w:b/>
          <w:i/>
        </w:rPr>
        <w:t>assumption</w:t>
      </w:r>
      <w:r w:rsidRPr="00C86F5B">
        <w:rPr>
          <w:b/>
          <w:i/>
        </w:rPr>
        <w:t>.</w:t>
      </w:r>
    </w:p>
    <w:p w:rsidR="0061406C" w:rsidRPr="00C86F5B" w:rsidRDefault="0061406C" w:rsidP="0061406C">
      <w:pPr>
        <w:adjustRightInd w:val="0"/>
        <w:snapToGrid w:val="0"/>
        <w:rPr>
          <w:b/>
          <w:i/>
        </w:rPr>
      </w:pPr>
      <w:r w:rsidRPr="00C86F5B">
        <w:rPr>
          <w:b/>
          <w:i/>
        </w:rPr>
        <w:t xml:space="preserve">Proposal </w:t>
      </w:r>
      <w:r>
        <w:rPr>
          <w:b/>
          <w:i/>
        </w:rPr>
        <w:t>2</w:t>
      </w:r>
      <w:r w:rsidRPr="00C86F5B">
        <w:rPr>
          <w:b/>
          <w:i/>
        </w:rPr>
        <w:t xml:space="preserve">: </w:t>
      </w:r>
      <w:r>
        <w:rPr>
          <w:b/>
          <w:i/>
        </w:rPr>
        <w:t xml:space="preserve">One shot </w:t>
      </w:r>
      <w:r w:rsidRPr="00C86F5B">
        <w:rPr>
          <w:b/>
          <w:i/>
        </w:rPr>
        <w:t xml:space="preserve">performance </w:t>
      </w:r>
      <w:r>
        <w:rPr>
          <w:b/>
          <w:i/>
        </w:rPr>
        <w:t xml:space="preserve">should be provided during simulation alignment </w:t>
      </w:r>
      <w:r w:rsidRPr="00C86F5B">
        <w:rPr>
          <w:b/>
          <w:i/>
        </w:rPr>
        <w:t>between compani</w:t>
      </w:r>
      <w:r>
        <w:rPr>
          <w:b/>
          <w:i/>
        </w:rPr>
        <w:t>es</w:t>
      </w:r>
      <w:r w:rsidRPr="00C86F5B">
        <w:rPr>
          <w:b/>
          <w:i/>
        </w:rPr>
        <w:t>.</w:t>
      </w:r>
    </w:p>
    <w:p w:rsidR="0034222E" w:rsidRDefault="0034222E" w:rsidP="0034222E">
      <w:pPr>
        <w:adjustRightInd w:val="0"/>
        <w:snapToGrid w:val="0"/>
        <w:rPr>
          <w:b/>
          <w:i/>
        </w:rPr>
      </w:pPr>
      <w:r w:rsidRPr="004D05A7">
        <w:rPr>
          <w:b/>
          <w:i/>
        </w:rPr>
        <w:t xml:space="preserve">Observation 3: The NR-PSS/SSS detection time </w:t>
      </w:r>
      <w:r>
        <w:rPr>
          <w:b/>
          <w:i/>
        </w:rPr>
        <w:t>seems to be</w:t>
      </w:r>
      <w:r w:rsidRPr="004D05A7">
        <w:rPr>
          <w:b/>
          <w:i/>
        </w:rPr>
        <w:t xml:space="preserve"> accepted by using 2 receivers.</w:t>
      </w:r>
    </w:p>
    <w:p w:rsidR="004153A3" w:rsidRDefault="00C30FC4" w:rsidP="00C86F5B">
      <w:pPr>
        <w:jc w:val="both"/>
        <w:rPr>
          <w:lang w:val="en-GB" w:eastAsia="en-US"/>
        </w:rPr>
      </w:pPr>
      <w:r>
        <w:t xml:space="preserve"> </w:t>
      </w:r>
    </w:p>
    <w:p w:rsidR="000F20AC" w:rsidRPr="000C45FD" w:rsidRDefault="000F20AC" w:rsidP="001D3830">
      <w:pPr>
        <w:pStyle w:val="1"/>
        <w:numPr>
          <w:ilvl w:val="0"/>
          <w:numId w:val="2"/>
        </w:numPr>
        <w:rPr>
          <w:rFonts w:ascii="Calibri" w:hAnsi="Calibri"/>
        </w:rPr>
      </w:pPr>
      <w:r w:rsidRPr="000C45FD">
        <w:rPr>
          <w:rFonts w:ascii="Calibri" w:hAnsi="Calibri"/>
        </w:rPr>
        <w:t>References</w:t>
      </w:r>
    </w:p>
    <w:p w:rsidR="001F7D48" w:rsidRPr="004D05A7" w:rsidRDefault="001F7D48" w:rsidP="001F7D48">
      <w:pPr>
        <w:numPr>
          <w:ilvl w:val="0"/>
          <w:numId w:val="1"/>
        </w:numPr>
        <w:rPr>
          <w:iCs/>
          <w:lang w:val="en-GB"/>
        </w:rPr>
      </w:pPr>
      <w:bookmarkStart w:id="2" w:name="_Ref446505138"/>
      <w:r w:rsidRPr="004D05A7">
        <w:t>R4-170</w:t>
      </w:r>
      <w:r w:rsidR="00A63CFD" w:rsidRPr="004D05A7">
        <w:t>8698</w:t>
      </w:r>
      <w:r w:rsidRPr="004D05A7">
        <w:rPr>
          <w:lang w:eastAsia="ja-JP"/>
        </w:rPr>
        <w:t>, “</w:t>
      </w:r>
      <w:r w:rsidR="00A63CFD" w:rsidRPr="004D05A7">
        <w:rPr>
          <w:lang w:eastAsia="ja-JP"/>
        </w:rPr>
        <w:t>Updated link level simulation assumption of cell detection in NR</w:t>
      </w:r>
      <w:r w:rsidRPr="004D05A7">
        <w:rPr>
          <w:lang w:eastAsia="ja-JP"/>
        </w:rPr>
        <w:t xml:space="preserve">”, </w:t>
      </w:r>
      <w:r w:rsidR="00A63CFD" w:rsidRPr="004D05A7">
        <w:rPr>
          <w:lang w:eastAsia="ja-JP"/>
        </w:rPr>
        <w:t>Huawei, HiSilicon, NTT DOCOMO, INC.</w:t>
      </w:r>
    </w:p>
    <w:p w:rsidR="00C04273" w:rsidRPr="004D05A7" w:rsidRDefault="00C04273" w:rsidP="00C04273">
      <w:pPr>
        <w:numPr>
          <w:ilvl w:val="0"/>
          <w:numId w:val="1"/>
        </w:numPr>
        <w:rPr>
          <w:lang w:eastAsia="ja-JP"/>
        </w:rPr>
      </w:pPr>
      <w:r w:rsidRPr="004D05A7">
        <w:rPr>
          <w:iCs/>
          <w:lang w:val="en-GB"/>
        </w:rPr>
        <w:t>R4-1707093</w:t>
      </w:r>
      <w:r w:rsidRPr="004D05A7">
        <w:rPr>
          <w:lang w:eastAsia="ja-JP"/>
        </w:rPr>
        <w:t>, “Link level simulation results for PSS/SSS detection”, Samsung</w:t>
      </w:r>
    </w:p>
    <w:p w:rsidR="00C04273" w:rsidRPr="004D05A7" w:rsidRDefault="00C04273" w:rsidP="001F7D48">
      <w:pPr>
        <w:numPr>
          <w:ilvl w:val="0"/>
          <w:numId w:val="1"/>
        </w:numPr>
        <w:rPr>
          <w:iCs/>
          <w:lang w:val="en-GB"/>
        </w:rPr>
      </w:pPr>
      <w:r w:rsidRPr="004D05A7">
        <w:rPr>
          <w:iCs/>
          <w:lang w:val="en-GB"/>
        </w:rPr>
        <w:t>R4-</w:t>
      </w:r>
      <w:r w:rsidRPr="004D05A7">
        <w:rPr>
          <w:lang w:eastAsia="ja-JP"/>
        </w:rPr>
        <w:t>1707356, “Link level simulation results for NR cell detection”, Intel</w:t>
      </w:r>
      <w:r w:rsidRPr="004D05A7">
        <w:rPr>
          <w:iCs/>
          <w:lang w:val="en-GB"/>
        </w:rPr>
        <w:t xml:space="preserve"> Corporation</w:t>
      </w:r>
    </w:p>
    <w:p w:rsidR="00C04273" w:rsidRPr="004D05A7" w:rsidRDefault="00C04273" w:rsidP="001F7D48">
      <w:pPr>
        <w:numPr>
          <w:ilvl w:val="0"/>
          <w:numId w:val="1"/>
        </w:numPr>
        <w:rPr>
          <w:lang w:eastAsia="ja-JP"/>
        </w:rPr>
      </w:pPr>
      <w:r w:rsidRPr="004D05A7">
        <w:rPr>
          <w:lang w:eastAsia="ja-JP"/>
        </w:rPr>
        <w:t>R4-1708223,” Link level simulation results of PSS/SSS detection in NR”, Huawei, HiSilicon</w:t>
      </w:r>
    </w:p>
    <w:p w:rsidR="004D05A7" w:rsidRDefault="004D05A7" w:rsidP="004D05A7">
      <w:pPr>
        <w:ind w:left="644"/>
        <w:rPr>
          <w:highlight w:val="yellow"/>
        </w:rPr>
      </w:pPr>
    </w:p>
    <w:p w:rsidR="004D05A7" w:rsidRPr="006F7557" w:rsidRDefault="004D05A7" w:rsidP="004D05A7">
      <w:pPr>
        <w:ind w:left="644"/>
        <w:rPr>
          <w:highlight w:val="yellow"/>
        </w:rPr>
      </w:pPr>
    </w:p>
    <w:bookmarkEnd w:id="2"/>
    <w:p w:rsidR="00B71077" w:rsidRPr="00B71077" w:rsidRDefault="00B71077" w:rsidP="00B71077">
      <w:pPr>
        <w:pStyle w:val="1"/>
        <w:numPr>
          <w:ilvl w:val="0"/>
          <w:numId w:val="2"/>
        </w:numPr>
        <w:rPr>
          <w:rFonts w:ascii="Calibri" w:hAnsi="Calibri"/>
        </w:rPr>
      </w:pPr>
      <w:r w:rsidRPr="00B71077">
        <w:rPr>
          <w:rFonts w:ascii="Calibri" w:hAnsi="Calibri"/>
        </w:rPr>
        <w:t xml:space="preserve">Annex A: Simulation </w:t>
      </w:r>
      <w:r w:rsidRPr="00B71077">
        <w:rPr>
          <w:rFonts w:ascii="Calibri" w:hAnsi="Calibri" w:hint="eastAsia"/>
        </w:rPr>
        <w:t>Assumptions</w:t>
      </w:r>
    </w:p>
    <w:p w:rsidR="00CB2C4D" w:rsidRPr="00733F3D" w:rsidRDefault="00CB2C4D" w:rsidP="00CB2C4D">
      <w:pPr>
        <w:pStyle w:val="af1"/>
        <w:ind w:left="360"/>
        <w:jc w:val="center"/>
      </w:pPr>
      <w:r w:rsidRPr="00733F3D">
        <w:t xml:space="preserve">Table </w:t>
      </w:r>
      <w:r>
        <w:t>A.</w:t>
      </w:r>
      <w:r>
        <w:fldChar w:fldCharType="begin"/>
      </w:r>
      <w:r>
        <w:instrText xml:space="preserve"> SEQ Table \* ARABIC </w:instrText>
      </w:r>
      <w:r>
        <w:fldChar w:fldCharType="separate"/>
      </w:r>
      <w:r w:rsidRPr="00733F3D">
        <w:t>1</w:t>
      </w:r>
      <w:r>
        <w:fldChar w:fldCharType="end"/>
      </w:r>
      <w:r w:rsidRPr="00733F3D">
        <w:t xml:space="preserve">: Cell-specific Parameters for </w:t>
      </w:r>
      <w:r w:rsidRPr="00733F3D">
        <w:rPr>
          <w:rFonts w:hint="eastAsia"/>
          <w:lang w:eastAsia="zh-CN"/>
        </w:rPr>
        <w:t>PSS/SSS</w:t>
      </w:r>
      <w:r w:rsidRPr="00733F3D">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3823"/>
      </w:tblGrid>
      <w:tr w:rsidR="00D77FA3" w:rsidRPr="00733F3D" w:rsidTr="00D77FA3">
        <w:trPr>
          <w:cantSplit/>
          <w:trHeight w:val="280"/>
          <w:jc w:val="center"/>
        </w:trPr>
        <w:tc>
          <w:tcPr>
            <w:tcW w:w="2995" w:type="dxa"/>
            <w:tcBorders>
              <w:bottom w:val="double" w:sz="4" w:space="0" w:color="auto"/>
            </w:tcBorders>
            <w:vAlign w:val="center"/>
          </w:tcPr>
          <w:p w:rsidR="00D77FA3" w:rsidRPr="00733F3D" w:rsidRDefault="00D77FA3" w:rsidP="00C66449">
            <w:pPr>
              <w:pStyle w:val="TAH"/>
              <w:adjustRightInd w:val="0"/>
              <w:snapToGrid w:val="0"/>
              <w:rPr>
                <w:rFonts w:ascii="Times New Roman" w:hAnsi="Times New Roman"/>
                <w:sz w:val="20"/>
              </w:rPr>
            </w:pPr>
            <w:r w:rsidRPr="00733F3D">
              <w:rPr>
                <w:rFonts w:ascii="Times New Roman" w:hAnsi="Times New Roman"/>
                <w:sz w:val="20"/>
              </w:rPr>
              <w:t>Parameter</w:t>
            </w:r>
          </w:p>
        </w:tc>
        <w:tc>
          <w:tcPr>
            <w:tcW w:w="1000" w:type="dxa"/>
            <w:tcBorders>
              <w:bottom w:val="double" w:sz="4" w:space="0" w:color="auto"/>
            </w:tcBorders>
            <w:vAlign w:val="center"/>
          </w:tcPr>
          <w:p w:rsidR="00D77FA3" w:rsidRPr="00733F3D" w:rsidRDefault="00D77FA3" w:rsidP="00C66449">
            <w:pPr>
              <w:pStyle w:val="TAH"/>
              <w:adjustRightInd w:val="0"/>
              <w:snapToGrid w:val="0"/>
              <w:rPr>
                <w:rFonts w:ascii="Times New Roman" w:hAnsi="Times New Roman"/>
                <w:sz w:val="20"/>
              </w:rPr>
            </w:pPr>
            <w:r w:rsidRPr="00733F3D">
              <w:rPr>
                <w:rFonts w:ascii="Times New Roman" w:hAnsi="Times New Roman"/>
                <w:sz w:val="20"/>
              </w:rPr>
              <w:t>Unit</w:t>
            </w:r>
          </w:p>
        </w:tc>
        <w:tc>
          <w:tcPr>
            <w:tcW w:w="3823" w:type="dxa"/>
            <w:tcBorders>
              <w:bottom w:val="double" w:sz="4" w:space="0" w:color="auto"/>
            </w:tcBorders>
            <w:vAlign w:val="center"/>
          </w:tcPr>
          <w:p w:rsidR="00D77FA3" w:rsidRPr="00733F3D" w:rsidRDefault="00D77FA3" w:rsidP="00C66449">
            <w:pPr>
              <w:pStyle w:val="TAH"/>
              <w:adjustRightInd w:val="0"/>
              <w:snapToGrid w:val="0"/>
              <w:rPr>
                <w:rFonts w:ascii="Times New Roman" w:hAnsi="Times New Roman"/>
                <w:sz w:val="20"/>
              </w:rPr>
            </w:pPr>
            <w:r w:rsidRPr="00733F3D">
              <w:rPr>
                <w:rFonts w:ascii="Times New Roman" w:hAnsi="Times New Roman"/>
                <w:sz w:val="20"/>
              </w:rPr>
              <w:t xml:space="preserve">Cell </w:t>
            </w:r>
          </w:p>
        </w:tc>
      </w:tr>
      <w:tr w:rsidR="00D77FA3" w:rsidRPr="00733F3D" w:rsidTr="00D77FA3">
        <w:trPr>
          <w:cantSplit/>
          <w:jc w:val="center"/>
        </w:trPr>
        <w:tc>
          <w:tcPr>
            <w:tcW w:w="2995" w:type="dxa"/>
            <w:tcBorders>
              <w:top w:val="double" w:sz="4" w:space="0" w:color="auto"/>
            </w:tcBorders>
            <w:vAlign w:val="center"/>
          </w:tcPr>
          <w:p w:rsidR="00D77FA3" w:rsidRPr="00733F3D" w:rsidRDefault="00D77FA3" w:rsidP="00C66449">
            <w:pPr>
              <w:adjustRightInd w:val="0"/>
              <w:snapToGrid w:val="0"/>
              <w:spacing w:after="0"/>
              <w:rPr>
                <w:lang w:val="it-IT"/>
              </w:rPr>
            </w:pPr>
            <w:r w:rsidRPr="00733F3D">
              <w:rPr>
                <w:lang w:val="it-IT"/>
              </w:rPr>
              <w:t>RF Channel number</w:t>
            </w:r>
          </w:p>
        </w:tc>
        <w:tc>
          <w:tcPr>
            <w:tcW w:w="1000" w:type="dxa"/>
            <w:tcBorders>
              <w:top w:val="double" w:sz="4" w:space="0" w:color="auto"/>
            </w:tcBorders>
            <w:vAlign w:val="center"/>
          </w:tcPr>
          <w:p w:rsidR="00D77FA3" w:rsidRPr="00733F3D" w:rsidRDefault="00D77FA3" w:rsidP="00C66449">
            <w:pPr>
              <w:adjustRightInd w:val="0"/>
              <w:snapToGrid w:val="0"/>
              <w:spacing w:after="0"/>
            </w:pPr>
            <w:r w:rsidRPr="00733F3D">
              <w:t>-</w:t>
            </w:r>
          </w:p>
        </w:tc>
        <w:tc>
          <w:tcPr>
            <w:tcW w:w="3823" w:type="dxa"/>
            <w:tcBorders>
              <w:top w:val="double" w:sz="4" w:space="0" w:color="auto"/>
            </w:tcBorders>
            <w:vAlign w:val="center"/>
          </w:tcPr>
          <w:p w:rsidR="00D77FA3" w:rsidRPr="00733F3D" w:rsidRDefault="00D77FA3" w:rsidP="00C66449">
            <w:pPr>
              <w:adjustRightInd w:val="0"/>
              <w:snapToGrid w:val="0"/>
              <w:spacing w:after="0"/>
            </w:pPr>
            <w:r w:rsidRPr="00733F3D">
              <w:t>Channel 1</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rPr>
                <w:lang w:eastAsia="ja-JP"/>
              </w:rPr>
              <w:t xml:space="preserve">Carrier frequency </w:t>
            </w:r>
          </w:p>
        </w:tc>
        <w:tc>
          <w:tcPr>
            <w:tcW w:w="1000" w:type="dxa"/>
            <w:vAlign w:val="center"/>
          </w:tcPr>
          <w:p w:rsidR="00D77FA3" w:rsidRPr="00733F3D" w:rsidRDefault="00D77FA3" w:rsidP="00C66449">
            <w:pPr>
              <w:adjustRightInd w:val="0"/>
              <w:snapToGrid w:val="0"/>
              <w:spacing w:after="0"/>
            </w:pPr>
          </w:p>
        </w:tc>
        <w:tc>
          <w:tcPr>
            <w:tcW w:w="3823" w:type="dxa"/>
            <w:vAlign w:val="center"/>
          </w:tcPr>
          <w:p w:rsidR="00D77FA3" w:rsidRPr="00E5332D" w:rsidRDefault="00D77FA3" w:rsidP="00C66449">
            <w:pPr>
              <w:adjustRightInd w:val="0"/>
              <w:snapToGrid w:val="0"/>
              <w:spacing w:after="0"/>
              <w:rPr>
                <w:highlight w:val="yellow"/>
              </w:rPr>
            </w:pPr>
            <w:r w:rsidRPr="00733F3D">
              <w:rPr>
                <w:rFonts w:hint="eastAsia"/>
              </w:rPr>
              <w:t>4GHz</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Subcarrier spacing</w:t>
            </w:r>
          </w:p>
        </w:tc>
        <w:tc>
          <w:tcPr>
            <w:tcW w:w="1000" w:type="dxa"/>
            <w:vAlign w:val="center"/>
          </w:tcPr>
          <w:p w:rsidR="00D77FA3" w:rsidRPr="00733F3D" w:rsidRDefault="00D77FA3" w:rsidP="00C66449">
            <w:pPr>
              <w:adjustRightInd w:val="0"/>
              <w:snapToGrid w:val="0"/>
              <w:spacing w:after="0"/>
            </w:pPr>
            <w:r w:rsidRPr="00733F3D">
              <w:t>KHz</w:t>
            </w:r>
          </w:p>
        </w:tc>
        <w:tc>
          <w:tcPr>
            <w:tcW w:w="3823" w:type="dxa"/>
            <w:vAlign w:val="center"/>
          </w:tcPr>
          <w:p w:rsidR="00D77FA3" w:rsidRPr="00E5332D" w:rsidRDefault="00D77FA3" w:rsidP="00C66449">
            <w:pPr>
              <w:adjustRightInd w:val="0"/>
              <w:snapToGrid w:val="0"/>
              <w:spacing w:after="0"/>
              <w:rPr>
                <w:highlight w:val="yellow"/>
              </w:rPr>
            </w:pPr>
            <w:r w:rsidRPr="00733F3D">
              <w:t>15 kHz; 30 kHz</w:t>
            </w:r>
            <w:r w:rsidRPr="00733F3D">
              <w:rPr>
                <w:rFonts w:hint="eastAsia"/>
              </w:rPr>
              <w:t xml:space="preserve"> for 4GHz;</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RB Utilization</w:t>
            </w:r>
          </w:p>
        </w:tc>
        <w:tc>
          <w:tcPr>
            <w:tcW w:w="1000" w:type="dxa"/>
            <w:vAlign w:val="center"/>
          </w:tcPr>
          <w:p w:rsidR="00D77FA3" w:rsidRPr="00733F3D" w:rsidRDefault="00D77FA3" w:rsidP="00C66449">
            <w:pPr>
              <w:adjustRightInd w:val="0"/>
              <w:snapToGrid w:val="0"/>
              <w:spacing w:after="0"/>
            </w:pPr>
            <w:r w:rsidRPr="00733F3D">
              <w:t>%</w:t>
            </w:r>
          </w:p>
        </w:tc>
        <w:tc>
          <w:tcPr>
            <w:tcW w:w="3823" w:type="dxa"/>
            <w:vAlign w:val="center"/>
          </w:tcPr>
          <w:p w:rsidR="00D77FA3" w:rsidRPr="00733F3D" w:rsidRDefault="00D77FA3" w:rsidP="00C66449">
            <w:pPr>
              <w:adjustRightInd w:val="0"/>
              <w:snapToGrid w:val="0"/>
              <w:spacing w:after="0"/>
            </w:pPr>
            <w:r w:rsidRPr="00733F3D">
              <w:t>100</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Power boosting for PSS and SSS</w:t>
            </w:r>
          </w:p>
        </w:tc>
        <w:tc>
          <w:tcPr>
            <w:tcW w:w="1000" w:type="dxa"/>
            <w:vAlign w:val="center"/>
          </w:tcPr>
          <w:p w:rsidR="00D77FA3" w:rsidRPr="00733F3D" w:rsidRDefault="00D77FA3" w:rsidP="00C66449">
            <w:pPr>
              <w:adjustRightInd w:val="0"/>
              <w:snapToGrid w:val="0"/>
              <w:spacing w:after="0"/>
            </w:pPr>
            <w:r w:rsidRPr="00733F3D">
              <w:t>dB</w:t>
            </w:r>
          </w:p>
        </w:tc>
        <w:tc>
          <w:tcPr>
            <w:tcW w:w="3823" w:type="dxa"/>
            <w:vAlign w:val="center"/>
          </w:tcPr>
          <w:p w:rsidR="00D77FA3" w:rsidRPr="00733F3D" w:rsidRDefault="00D77FA3" w:rsidP="00C66449">
            <w:pPr>
              <w:adjustRightInd w:val="0"/>
              <w:snapToGrid w:val="0"/>
              <w:spacing w:after="0"/>
            </w:pPr>
            <w:r w:rsidRPr="00733F3D">
              <w:t>0</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Power boosting for Data and Control</w:t>
            </w:r>
          </w:p>
        </w:tc>
        <w:tc>
          <w:tcPr>
            <w:tcW w:w="1000" w:type="dxa"/>
            <w:vAlign w:val="center"/>
          </w:tcPr>
          <w:p w:rsidR="00D77FA3" w:rsidRPr="00733F3D" w:rsidRDefault="00D77FA3" w:rsidP="00C66449">
            <w:pPr>
              <w:adjustRightInd w:val="0"/>
              <w:snapToGrid w:val="0"/>
              <w:spacing w:after="0"/>
            </w:pPr>
            <w:r w:rsidRPr="00733F3D">
              <w:t>dB</w:t>
            </w:r>
          </w:p>
        </w:tc>
        <w:tc>
          <w:tcPr>
            <w:tcW w:w="3823" w:type="dxa"/>
            <w:vAlign w:val="center"/>
          </w:tcPr>
          <w:p w:rsidR="00D77FA3" w:rsidRPr="00733F3D" w:rsidRDefault="00D77FA3" w:rsidP="00C66449">
            <w:pPr>
              <w:adjustRightInd w:val="0"/>
              <w:snapToGrid w:val="0"/>
              <w:spacing w:after="0"/>
            </w:pPr>
            <w:r w:rsidRPr="00733F3D">
              <w:t>0</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Data Modulation</w:t>
            </w:r>
          </w:p>
        </w:tc>
        <w:tc>
          <w:tcPr>
            <w:tcW w:w="1000" w:type="dxa"/>
            <w:vAlign w:val="center"/>
          </w:tcPr>
          <w:p w:rsidR="00D77FA3" w:rsidRPr="00733F3D" w:rsidRDefault="00D77FA3" w:rsidP="00C66449">
            <w:pPr>
              <w:adjustRightInd w:val="0"/>
              <w:snapToGrid w:val="0"/>
              <w:spacing w:after="0"/>
            </w:pPr>
            <w:r w:rsidRPr="00733F3D">
              <w:t>-</w:t>
            </w:r>
          </w:p>
        </w:tc>
        <w:tc>
          <w:tcPr>
            <w:tcW w:w="3823" w:type="dxa"/>
            <w:vAlign w:val="center"/>
          </w:tcPr>
          <w:p w:rsidR="00D77FA3" w:rsidRPr="00733F3D" w:rsidRDefault="00D77FA3" w:rsidP="00C66449">
            <w:pPr>
              <w:adjustRightInd w:val="0"/>
              <w:snapToGrid w:val="0"/>
              <w:spacing w:after="0"/>
            </w:pPr>
            <w:r w:rsidRPr="00733F3D">
              <w:t>QPSK</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CP Length</w:t>
            </w:r>
          </w:p>
        </w:tc>
        <w:tc>
          <w:tcPr>
            <w:tcW w:w="1000" w:type="dxa"/>
            <w:vAlign w:val="center"/>
          </w:tcPr>
          <w:p w:rsidR="00D77FA3" w:rsidRPr="00733F3D" w:rsidRDefault="00D77FA3" w:rsidP="00C66449">
            <w:pPr>
              <w:adjustRightInd w:val="0"/>
              <w:snapToGrid w:val="0"/>
              <w:spacing w:after="0"/>
            </w:pPr>
            <w:r w:rsidRPr="00733F3D">
              <w:t>-</w:t>
            </w:r>
          </w:p>
        </w:tc>
        <w:tc>
          <w:tcPr>
            <w:tcW w:w="3823" w:type="dxa"/>
            <w:vAlign w:val="center"/>
          </w:tcPr>
          <w:p w:rsidR="00D77FA3" w:rsidRPr="00733F3D" w:rsidRDefault="00D77FA3" w:rsidP="00C66449">
            <w:pPr>
              <w:adjustRightInd w:val="0"/>
              <w:snapToGrid w:val="0"/>
              <w:spacing w:after="0"/>
            </w:pPr>
            <w:r w:rsidRPr="00733F3D">
              <w:t>Normal</w:t>
            </w:r>
          </w:p>
        </w:tc>
      </w:tr>
      <w:tr w:rsidR="00D77FA3" w:rsidRPr="00733F3D" w:rsidTr="00D77FA3">
        <w:trPr>
          <w:cantSplit/>
          <w:jc w:val="center"/>
        </w:trPr>
        <w:tc>
          <w:tcPr>
            <w:tcW w:w="2995" w:type="dxa"/>
            <w:shd w:val="clear" w:color="auto" w:fill="auto"/>
            <w:vAlign w:val="center"/>
          </w:tcPr>
          <w:p w:rsidR="00D77FA3" w:rsidRPr="00C548FB" w:rsidRDefault="00D77FA3" w:rsidP="00C66449">
            <w:pPr>
              <w:adjustRightInd w:val="0"/>
              <w:snapToGrid w:val="0"/>
              <w:spacing w:after="0"/>
            </w:pPr>
            <w:r w:rsidRPr="00733F3D">
              <w:rPr>
                <w:lang w:eastAsia="ja-JP"/>
              </w:rPr>
              <w:t>Number of transmitted SS block within a SS burst set period</w:t>
            </w:r>
            <w:r w:rsidRPr="00733F3D">
              <w:rPr>
                <w:vertAlign w:val="superscript"/>
              </w:rPr>
              <w:t xml:space="preserve"> </w:t>
            </w:r>
            <w:r>
              <w:rPr>
                <w:rFonts w:hint="eastAsia"/>
              </w:rPr>
              <w:t>(K)</w:t>
            </w:r>
          </w:p>
        </w:tc>
        <w:tc>
          <w:tcPr>
            <w:tcW w:w="1000" w:type="dxa"/>
            <w:shd w:val="clear" w:color="auto" w:fill="auto"/>
            <w:vAlign w:val="center"/>
          </w:tcPr>
          <w:p w:rsidR="00D77FA3" w:rsidRPr="00733F3D" w:rsidRDefault="00D77FA3" w:rsidP="00C66449">
            <w:pPr>
              <w:adjustRightInd w:val="0"/>
              <w:snapToGrid w:val="0"/>
              <w:spacing w:after="0"/>
            </w:pPr>
            <w:r w:rsidRPr="00733F3D">
              <w:t>-</w:t>
            </w:r>
          </w:p>
        </w:tc>
        <w:tc>
          <w:tcPr>
            <w:tcW w:w="3823" w:type="dxa"/>
            <w:shd w:val="clear" w:color="auto" w:fill="auto"/>
            <w:vAlign w:val="center"/>
          </w:tcPr>
          <w:p w:rsidR="00D77FA3" w:rsidRPr="00733F3D" w:rsidRDefault="00D77FA3" w:rsidP="00C66449">
            <w:pPr>
              <w:adjustRightInd w:val="0"/>
              <w:snapToGrid w:val="0"/>
              <w:spacing w:after="0"/>
            </w:pPr>
            <w:r w:rsidRPr="00733F3D">
              <w:t>1</w:t>
            </w:r>
            <w:r w:rsidRPr="00733F3D">
              <w:rPr>
                <w:rFonts w:hint="eastAsia"/>
              </w:rPr>
              <w:t>(baseline)</w:t>
            </w:r>
          </w:p>
          <w:p w:rsidR="00D77FA3" w:rsidRPr="00733F3D" w:rsidRDefault="00D77FA3" w:rsidP="00C66449">
            <w:pPr>
              <w:adjustRightInd w:val="0"/>
              <w:snapToGrid w:val="0"/>
              <w:spacing w:after="0"/>
            </w:pPr>
          </w:p>
        </w:tc>
      </w:tr>
      <w:tr w:rsidR="00D77FA3" w:rsidRPr="00733F3D" w:rsidTr="00D77FA3">
        <w:trPr>
          <w:cantSplit/>
          <w:jc w:val="center"/>
        </w:trPr>
        <w:tc>
          <w:tcPr>
            <w:tcW w:w="2995" w:type="dxa"/>
            <w:shd w:val="clear" w:color="auto" w:fill="auto"/>
            <w:vAlign w:val="center"/>
          </w:tcPr>
          <w:p w:rsidR="00D77FA3" w:rsidRPr="00733F3D" w:rsidRDefault="00D77FA3" w:rsidP="00C66449">
            <w:pPr>
              <w:adjustRightInd w:val="0"/>
              <w:snapToGrid w:val="0"/>
              <w:spacing w:after="0"/>
              <w:rPr>
                <w:lang w:eastAsia="ja-JP"/>
              </w:rPr>
            </w:pPr>
            <w:r w:rsidRPr="00733F3D">
              <w:t>SS burst set periodicity</w:t>
            </w:r>
          </w:p>
        </w:tc>
        <w:tc>
          <w:tcPr>
            <w:tcW w:w="1000" w:type="dxa"/>
            <w:shd w:val="clear" w:color="auto" w:fill="auto"/>
            <w:vAlign w:val="center"/>
          </w:tcPr>
          <w:p w:rsidR="00D77FA3" w:rsidRPr="00733F3D" w:rsidRDefault="00D77FA3" w:rsidP="00C66449">
            <w:pPr>
              <w:adjustRightInd w:val="0"/>
              <w:snapToGrid w:val="0"/>
              <w:spacing w:after="0"/>
            </w:pPr>
            <w:r w:rsidRPr="00733F3D">
              <w:t>ms</w:t>
            </w:r>
          </w:p>
        </w:tc>
        <w:tc>
          <w:tcPr>
            <w:tcW w:w="3823" w:type="dxa"/>
            <w:shd w:val="clear" w:color="auto" w:fill="auto"/>
            <w:vAlign w:val="center"/>
          </w:tcPr>
          <w:p w:rsidR="00D77FA3" w:rsidRPr="00733F3D" w:rsidRDefault="00D77FA3" w:rsidP="00C66449">
            <w:pPr>
              <w:adjustRightInd w:val="0"/>
              <w:snapToGrid w:val="0"/>
              <w:spacing w:after="0"/>
            </w:pPr>
            <w:r w:rsidRPr="00733F3D">
              <w:t>5</w:t>
            </w:r>
          </w:p>
        </w:tc>
      </w:tr>
      <w:tr w:rsidR="00D77FA3" w:rsidRPr="00733F3D" w:rsidTr="00D77FA3">
        <w:trPr>
          <w:cantSplit/>
          <w:jc w:val="center"/>
        </w:trPr>
        <w:tc>
          <w:tcPr>
            <w:tcW w:w="2995" w:type="dxa"/>
            <w:shd w:val="clear" w:color="auto" w:fill="auto"/>
            <w:vAlign w:val="center"/>
          </w:tcPr>
          <w:p w:rsidR="00D77FA3" w:rsidRPr="00733F3D" w:rsidRDefault="00D77FA3" w:rsidP="00C66449">
            <w:pPr>
              <w:adjustRightInd w:val="0"/>
              <w:snapToGrid w:val="0"/>
              <w:spacing w:after="0"/>
            </w:pPr>
            <w:r w:rsidRPr="00733F3D">
              <w:t>Frequency Offset relative to UE frequency reference</w:t>
            </w:r>
          </w:p>
        </w:tc>
        <w:tc>
          <w:tcPr>
            <w:tcW w:w="1000" w:type="dxa"/>
            <w:shd w:val="clear" w:color="auto" w:fill="auto"/>
            <w:vAlign w:val="center"/>
          </w:tcPr>
          <w:p w:rsidR="00D77FA3" w:rsidRPr="00733F3D" w:rsidRDefault="00D77FA3" w:rsidP="00C66449">
            <w:pPr>
              <w:adjustRightInd w:val="0"/>
              <w:snapToGrid w:val="0"/>
              <w:spacing w:after="0"/>
            </w:pPr>
            <w:r w:rsidRPr="00733F3D">
              <w:t>Hz</w:t>
            </w:r>
          </w:p>
        </w:tc>
        <w:tc>
          <w:tcPr>
            <w:tcW w:w="3823" w:type="dxa"/>
            <w:shd w:val="clear" w:color="auto" w:fill="auto"/>
            <w:vAlign w:val="center"/>
          </w:tcPr>
          <w:p w:rsidR="00D77FA3" w:rsidRPr="00733F3D" w:rsidRDefault="00D77FA3" w:rsidP="00C66449">
            <w:pPr>
              <w:adjustRightInd w:val="0"/>
              <w:snapToGrid w:val="0"/>
              <w:spacing w:after="0"/>
            </w:pPr>
            <w:r w:rsidRPr="00733F3D">
              <w:t>0</w:t>
            </w:r>
          </w:p>
        </w:tc>
      </w:tr>
      <w:tr w:rsidR="00D77FA3" w:rsidRPr="00733F3D" w:rsidTr="00D77FA3">
        <w:trPr>
          <w:cantSplit/>
          <w:jc w:val="center"/>
        </w:trPr>
        <w:tc>
          <w:tcPr>
            <w:tcW w:w="2995" w:type="dxa"/>
            <w:shd w:val="clear" w:color="auto" w:fill="auto"/>
            <w:vAlign w:val="center"/>
          </w:tcPr>
          <w:p w:rsidR="00D77FA3" w:rsidRPr="00C548FB" w:rsidRDefault="00D77FA3" w:rsidP="00C66449">
            <w:pPr>
              <w:adjustRightInd w:val="0"/>
              <w:snapToGrid w:val="0"/>
              <w:spacing w:after="0"/>
            </w:pPr>
            <w:r w:rsidRPr="00D77FA3">
              <w:t>Eor/Ioc</w:t>
            </w:r>
            <w:r w:rsidRPr="00D77FA3">
              <w:rPr>
                <w:rFonts w:hint="eastAsia"/>
              </w:rPr>
              <w:t xml:space="preserve"> for K=1</w:t>
            </w:r>
          </w:p>
        </w:tc>
        <w:tc>
          <w:tcPr>
            <w:tcW w:w="1000" w:type="dxa"/>
            <w:shd w:val="clear" w:color="auto" w:fill="auto"/>
            <w:vAlign w:val="center"/>
          </w:tcPr>
          <w:p w:rsidR="00D77FA3" w:rsidRPr="00733F3D" w:rsidRDefault="00D77FA3" w:rsidP="00C66449">
            <w:pPr>
              <w:adjustRightInd w:val="0"/>
              <w:snapToGrid w:val="0"/>
              <w:spacing w:after="0"/>
            </w:pPr>
            <w:r w:rsidRPr="00733F3D">
              <w:t>dB</w:t>
            </w:r>
          </w:p>
        </w:tc>
        <w:tc>
          <w:tcPr>
            <w:tcW w:w="3823" w:type="dxa"/>
            <w:shd w:val="clear" w:color="auto" w:fill="auto"/>
            <w:vAlign w:val="center"/>
          </w:tcPr>
          <w:p w:rsidR="00D77FA3" w:rsidRPr="00733F3D" w:rsidRDefault="00D77FA3" w:rsidP="00CB2C4D">
            <w:pPr>
              <w:adjustRightInd w:val="0"/>
              <w:snapToGrid w:val="0"/>
              <w:spacing w:after="0"/>
            </w:pPr>
            <w:r w:rsidRPr="00733F3D">
              <w:rPr>
                <w:rFonts w:hint="eastAsia"/>
              </w:rPr>
              <w:t>SINR: -6dB</w:t>
            </w:r>
            <w:r>
              <w:t xml:space="preserve">, </w:t>
            </w:r>
            <w:r>
              <w:rPr>
                <w:rFonts w:hint="eastAsia"/>
              </w:rPr>
              <w:t>-7</w:t>
            </w:r>
            <w:r w:rsidRPr="00733F3D">
              <w:rPr>
                <w:rFonts w:hint="eastAsia"/>
              </w:rPr>
              <w:t>dB, -</w:t>
            </w:r>
            <w:r>
              <w:t>8</w:t>
            </w:r>
            <w:r w:rsidRPr="00733F3D">
              <w:rPr>
                <w:rFonts w:hint="eastAsia"/>
              </w:rPr>
              <w:t>dB</w:t>
            </w:r>
          </w:p>
        </w:tc>
      </w:tr>
      <w:tr w:rsidR="00D77FA3" w:rsidRPr="00733F3D" w:rsidTr="00D77FA3">
        <w:trPr>
          <w:cantSplit/>
          <w:jc w:val="center"/>
        </w:trPr>
        <w:tc>
          <w:tcPr>
            <w:tcW w:w="2995" w:type="dxa"/>
            <w:shd w:val="clear" w:color="auto" w:fill="auto"/>
            <w:vAlign w:val="center"/>
          </w:tcPr>
          <w:p w:rsidR="00D77FA3" w:rsidRPr="00733F3D" w:rsidRDefault="00D77FA3" w:rsidP="00C66449">
            <w:pPr>
              <w:adjustRightInd w:val="0"/>
              <w:snapToGrid w:val="0"/>
              <w:spacing w:after="0"/>
            </w:pPr>
            <w:r w:rsidRPr="00733F3D">
              <w:t>Number of Tx antennas</w:t>
            </w:r>
          </w:p>
        </w:tc>
        <w:tc>
          <w:tcPr>
            <w:tcW w:w="1000" w:type="dxa"/>
            <w:shd w:val="clear" w:color="auto" w:fill="auto"/>
            <w:vAlign w:val="center"/>
          </w:tcPr>
          <w:p w:rsidR="00D77FA3" w:rsidRPr="00733F3D" w:rsidRDefault="00D77FA3" w:rsidP="00C66449">
            <w:pPr>
              <w:adjustRightInd w:val="0"/>
              <w:snapToGrid w:val="0"/>
              <w:spacing w:after="0"/>
            </w:pPr>
            <w:r w:rsidRPr="00733F3D">
              <w:t>-</w:t>
            </w:r>
          </w:p>
        </w:tc>
        <w:tc>
          <w:tcPr>
            <w:tcW w:w="3823" w:type="dxa"/>
            <w:shd w:val="clear" w:color="auto" w:fill="auto"/>
            <w:vAlign w:val="center"/>
          </w:tcPr>
          <w:p w:rsidR="00D77FA3" w:rsidRPr="00733F3D" w:rsidRDefault="00D77FA3" w:rsidP="00C66449">
            <w:pPr>
              <w:adjustRightInd w:val="0"/>
              <w:snapToGrid w:val="0"/>
              <w:spacing w:after="0"/>
            </w:pPr>
            <w:r w:rsidRPr="00733F3D">
              <w:t>1</w:t>
            </w:r>
          </w:p>
        </w:tc>
      </w:tr>
      <w:tr w:rsidR="00D77FA3" w:rsidRPr="00733F3D" w:rsidTr="00D77FA3">
        <w:trPr>
          <w:cantSplit/>
          <w:jc w:val="center"/>
        </w:trPr>
        <w:tc>
          <w:tcPr>
            <w:tcW w:w="2995" w:type="dxa"/>
            <w:shd w:val="clear" w:color="auto" w:fill="auto"/>
            <w:vAlign w:val="center"/>
          </w:tcPr>
          <w:p w:rsidR="00D77FA3" w:rsidRPr="00733F3D" w:rsidRDefault="00D77FA3" w:rsidP="00C66449">
            <w:pPr>
              <w:adjustRightInd w:val="0"/>
              <w:snapToGrid w:val="0"/>
              <w:spacing w:after="0"/>
            </w:pPr>
            <w:r>
              <w:t>Cell ID</w:t>
            </w:r>
          </w:p>
        </w:tc>
        <w:tc>
          <w:tcPr>
            <w:tcW w:w="1000" w:type="dxa"/>
            <w:shd w:val="clear" w:color="auto" w:fill="auto"/>
            <w:vAlign w:val="center"/>
          </w:tcPr>
          <w:p w:rsidR="00D77FA3" w:rsidRPr="00733F3D" w:rsidRDefault="00D77FA3" w:rsidP="00C66449">
            <w:pPr>
              <w:adjustRightInd w:val="0"/>
              <w:snapToGrid w:val="0"/>
              <w:spacing w:after="0"/>
            </w:pPr>
          </w:p>
        </w:tc>
        <w:tc>
          <w:tcPr>
            <w:tcW w:w="3823" w:type="dxa"/>
            <w:shd w:val="clear" w:color="auto" w:fill="auto"/>
            <w:vAlign w:val="center"/>
          </w:tcPr>
          <w:p w:rsidR="00D77FA3" w:rsidRDefault="00D77FA3" w:rsidP="00C66449">
            <w:pPr>
              <w:adjustRightInd w:val="0"/>
              <w:snapToGrid w:val="0"/>
              <w:spacing w:after="0"/>
            </w:pPr>
            <w:r>
              <w:t>674</w:t>
            </w:r>
          </w:p>
        </w:tc>
      </w:tr>
      <w:tr w:rsidR="00D77FA3" w:rsidRPr="00733F3D" w:rsidTr="00D77FA3">
        <w:trPr>
          <w:cantSplit/>
          <w:jc w:val="center"/>
        </w:trPr>
        <w:tc>
          <w:tcPr>
            <w:tcW w:w="2995" w:type="dxa"/>
            <w:shd w:val="clear" w:color="auto" w:fill="auto"/>
            <w:vAlign w:val="center"/>
          </w:tcPr>
          <w:p w:rsidR="00D77FA3" w:rsidRPr="00733F3D" w:rsidRDefault="00D77FA3" w:rsidP="00C66449">
            <w:pPr>
              <w:adjustRightInd w:val="0"/>
              <w:snapToGrid w:val="0"/>
              <w:spacing w:after="0"/>
            </w:pPr>
            <w:r w:rsidRPr="00733F3D">
              <w:t>PSS Sequence ID</w:t>
            </w:r>
          </w:p>
        </w:tc>
        <w:tc>
          <w:tcPr>
            <w:tcW w:w="1000" w:type="dxa"/>
            <w:shd w:val="clear" w:color="auto" w:fill="auto"/>
            <w:vAlign w:val="center"/>
          </w:tcPr>
          <w:p w:rsidR="00D77FA3" w:rsidRPr="00733F3D" w:rsidRDefault="00D77FA3" w:rsidP="00C66449">
            <w:pPr>
              <w:adjustRightInd w:val="0"/>
              <w:snapToGrid w:val="0"/>
              <w:spacing w:after="0"/>
            </w:pPr>
            <w:r w:rsidRPr="00733F3D">
              <w:t>-</w:t>
            </w:r>
          </w:p>
        </w:tc>
        <w:tc>
          <w:tcPr>
            <w:tcW w:w="3823" w:type="dxa"/>
            <w:shd w:val="clear" w:color="auto" w:fill="auto"/>
            <w:vAlign w:val="center"/>
          </w:tcPr>
          <w:p w:rsidR="00D77FA3" w:rsidRPr="00733F3D" w:rsidRDefault="00D77FA3" w:rsidP="00C66449">
            <w:pPr>
              <w:adjustRightInd w:val="0"/>
              <w:snapToGrid w:val="0"/>
              <w:spacing w:after="0"/>
            </w:pPr>
            <w:r>
              <w:t>2</w:t>
            </w:r>
          </w:p>
        </w:tc>
      </w:tr>
      <w:tr w:rsidR="00D77FA3" w:rsidRPr="00733F3D" w:rsidTr="00D77FA3">
        <w:trPr>
          <w:cantSplit/>
          <w:jc w:val="center"/>
        </w:trPr>
        <w:tc>
          <w:tcPr>
            <w:tcW w:w="2995" w:type="dxa"/>
            <w:vAlign w:val="center"/>
          </w:tcPr>
          <w:p w:rsidR="00D77FA3" w:rsidRPr="00733F3D" w:rsidRDefault="00D77FA3" w:rsidP="00C66449">
            <w:pPr>
              <w:adjustRightInd w:val="0"/>
              <w:snapToGrid w:val="0"/>
              <w:spacing w:after="0"/>
            </w:pPr>
            <w:r w:rsidRPr="00733F3D">
              <w:t>SSS Sequence ID</w:t>
            </w:r>
          </w:p>
        </w:tc>
        <w:tc>
          <w:tcPr>
            <w:tcW w:w="1000" w:type="dxa"/>
            <w:vAlign w:val="center"/>
          </w:tcPr>
          <w:p w:rsidR="00D77FA3" w:rsidRPr="00733F3D" w:rsidRDefault="00D77FA3" w:rsidP="00C66449">
            <w:pPr>
              <w:adjustRightInd w:val="0"/>
              <w:snapToGrid w:val="0"/>
              <w:spacing w:after="0"/>
            </w:pPr>
            <w:r w:rsidRPr="00733F3D">
              <w:t>-</w:t>
            </w:r>
          </w:p>
        </w:tc>
        <w:tc>
          <w:tcPr>
            <w:tcW w:w="3823" w:type="dxa"/>
            <w:vAlign w:val="center"/>
          </w:tcPr>
          <w:p w:rsidR="00D77FA3" w:rsidRPr="00733F3D" w:rsidRDefault="00D77FA3" w:rsidP="00C66449">
            <w:pPr>
              <w:adjustRightInd w:val="0"/>
              <w:snapToGrid w:val="0"/>
              <w:spacing w:after="0"/>
            </w:pPr>
            <w:r>
              <w:t>224</w:t>
            </w:r>
          </w:p>
        </w:tc>
      </w:tr>
      <w:tr w:rsidR="00CB2C4D" w:rsidRPr="00733F3D" w:rsidTr="00D77FA3">
        <w:trPr>
          <w:cantSplit/>
          <w:jc w:val="center"/>
        </w:trPr>
        <w:tc>
          <w:tcPr>
            <w:tcW w:w="2995" w:type="dxa"/>
            <w:vAlign w:val="center"/>
          </w:tcPr>
          <w:p w:rsidR="00CB2C4D" w:rsidRPr="00733F3D" w:rsidRDefault="00CB2C4D" w:rsidP="00C66449">
            <w:pPr>
              <w:adjustRightInd w:val="0"/>
              <w:snapToGrid w:val="0"/>
              <w:spacing w:after="0"/>
            </w:pPr>
            <w:r w:rsidRPr="00733F3D">
              <w:t>Propagation Condition</w:t>
            </w:r>
          </w:p>
        </w:tc>
        <w:tc>
          <w:tcPr>
            <w:tcW w:w="1000" w:type="dxa"/>
            <w:vAlign w:val="center"/>
          </w:tcPr>
          <w:p w:rsidR="00CB2C4D" w:rsidRPr="00733F3D" w:rsidRDefault="00CB2C4D" w:rsidP="00C66449">
            <w:pPr>
              <w:adjustRightInd w:val="0"/>
              <w:snapToGrid w:val="0"/>
              <w:spacing w:after="0"/>
            </w:pPr>
            <w:r w:rsidRPr="00733F3D">
              <w:t>-</w:t>
            </w:r>
          </w:p>
        </w:tc>
        <w:tc>
          <w:tcPr>
            <w:tcW w:w="3823" w:type="dxa"/>
            <w:vAlign w:val="center"/>
          </w:tcPr>
          <w:p w:rsidR="00CB2C4D" w:rsidRPr="00733F3D" w:rsidRDefault="00CB2C4D" w:rsidP="00C66449">
            <w:pPr>
              <w:adjustRightInd w:val="0"/>
              <w:snapToGrid w:val="0"/>
              <w:spacing w:after="0"/>
            </w:pPr>
            <w:r w:rsidRPr="00733F3D">
              <w:t>AWGN, EPA5, ETU30</w:t>
            </w:r>
          </w:p>
          <w:p w:rsidR="00CB2C4D" w:rsidRPr="00733F3D" w:rsidRDefault="00D77FA3" w:rsidP="00EB663B">
            <w:pPr>
              <w:adjustRightInd w:val="0"/>
              <w:snapToGrid w:val="0"/>
              <w:spacing w:after="0"/>
            </w:pPr>
            <w:r w:rsidRPr="00C72B02">
              <w:t xml:space="preserve">TDL-A/B/C with </w:t>
            </w:r>
            <w:r w:rsidRPr="002F4D59">
              <w:t>100ns for 4 GHz</w:t>
            </w:r>
            <w:r w:rsidRPr="00C72B02">
              <w:t xml:space="preserve"> </w:t>
            </w:r>
            <w:r w:rsidR="00CB2C4D" w:rsidRPr="00733F3D">
              <w:rPr>
                <w:vertAlign w:val="superscript"/>
              </w:rPr>
              <w:t>Note</w:t>
            </w:r>
            <w:r w:rsidR="00CB2C4D" w:rsidRPr="00733F3D">
              <w:rPr>
                <w:rFonts w:hint="eastAsia"/>
                <w:vertAlign w:val="superscript"/>
              </w:rPr>
              <w:t>1</w:t>
            </w:r>
          </w:p>
        </w:tc>
      </w:tr>
      <w:tr w:rsidR="00CB2C4D" w:rsidRPr="00733F3D" w:rsidTr="00D77FA3">
        <w:trPr>
          <w:cantSplit/>
          <w:jc w:val="center"/>
        </w:trPr>
        <w:tc>
          <w:tcPr>
            <w:tcW w:w="2995" w:type="dxa"/>
            <w:vAlign w:val="center"/>
          </w:tcPr>
          <w:p w:rsidR="00CB2C4D" w:rsidRPr="00733F3D" w:rsidRDefault="00D77FA3" w:rsidP="00D77FA3">
            <w:pPr>
              <w:adjustRightInd w:val="0"/>
              <w:snapToGrid w:val="0"/>
              <w:spacing w:after="0"/>
            </w:pPr>
            <w:r>
              <w:t>N</w:t>
            </w:r>
            <w:r w:rsidR="00CB2C4D" w:rsidRPr="00733F3D">
              <w:t>oc Model</w:t>
            </w:r>
          </w:p>
        </w:tc>
        <w:tc>
          <w:tcPr>
            <w:tcW w:w="1000" w:type="dxa"/>
            <w:vAlign w:val="center"/>
          </w:tcPr>
          <w:p w:rsidR="00CB2C4D" w:rsidRPr="00733F3D" w:rsidRDefault="00CB2C4D" w:rsidP="00C66449">
            <w:pPr>
              <w:adjustRightInd w:val="0"/>
              <w:snapToGrid w:val="0"/>
              <w:spacing w:after="0"/>
            </w:pPr>
            <w:r w:rsidRPr="00733F3D">
              <w:t>-</w:t>
            </w:r>
          </w:p>
        </w:tc>
        <w:tc>
          <w:tcPr>
            <w:tcW w:w="3823" w:type="dxa"/>
            <w:vAlign w:val="center"/>
          </w:tcPr>
          <w:p w:rsidR="00CB2C4D" w:rsidRPr="00733F3D" w:rsidRDefault="00CB2C4D" w:rsidP="00C66449">
            <w:pPr>
              <w:adjustRightInd w:val="0"/>
              <w:snapToGrid w:val="0"/>
              <w:spacing w:after="0"/>
            </w:pPr>
            <w:r w:rsidRPr="00733F3D">
              <w:t>AWGN noise</w:t>
            </w:r>
          </w:p>
        </w:tc>
      </w:tr>
      <w:tr w:rsidR="00CB2C4D" w:rsidRPr="00733F3D" w:rsidTr="00D77FA3">
        <w:trPr>
          <w:cantSplit/>
          <w:jc w:val="center"/>
        </w:trPr>
        <w:tc>
          <w:tcPr>
            <w:tcW w:w="7818" w:type="dxa"/>
            <w:gridSpan w:val="3"/>
            <w:vAlign w:val="center"/>
          </w:tcPr>
          <w:p w:rsidR="00CB2C4D" w:rsidRPr="00733F3D" w:rsidRDefault="00CB2C4D" w:rsidP="005E2455">
            <w:pPr>
              <w:pStyle w:val="TAN"/>
              <w:adjustRightInd w:val="0"/>
              <w:snapToGrid w:val="0"/>
            </w:pPr>
            <w:r w:rsidRPr="00733F3D">
              <w:rPr>
                <w:rFonts w:ascii="Times New Roman" w:hAnsi="Times New Roman"/>
                <w:sz w:val="20"/>
              </w:rPr>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TDL are used for simplified link level evaluations, which are defined in TR 38.90</w:t>
            </w:r>
            <w:r w:rsidR="00D77FA3">
              <w:rPr>
                <w:rFonts w:ascii="Times New Roman" w:hAnsi="Times New Roman"/>
                <w:sz w:val="20"/>
                <w:lang w:val="en-US"/>
              </w:rPr>
              <w:t>1</w:t>
            </w:r>
            <w:r w:rsidRPr="00733F3D">
              <w:rPr>
                <w:rFonts w:ascii="Times New Roman" w:hAnsi="Times New Roman"/>
                <w:sz w:val="20"/>
              </w:rPr>
              <w:t>.</w:t>
            </w:r>
          </w:p>
        </w:tc>
      </w:tr>
    </w:tbl>
    <w:p w:rsidR="00B71077" w:rsidRPr="00CB2C4D" w:rsidRDefault="00B71077" w:rsidP="00B71077">
      <w:pPr>
        <w:pStyle w:val="af1"/>
        <w:jc w:val="center"/>
        <w:rPr>
          <w:lang w:val="en-US" w:eastAsia="zh-CN"/>
        </w:rPr>
      </w:pPr>
    </w:p>
    <w:p w:rsidR="00D77FA3" w:rsidRPr="00733F3D" w:rsidRDefault="00D77FA3" w:rsidP="00D77FA3">
      <w:pPr>
        <w:pStyle w:val="af1"/>
        <w:jc w:val="center"/>
      </w:pPr>
      <w:r w:rsidRPr="00733F3D">
        <w:t xml:space="preserve">Table </w:t>
      </w:r>
      <w:r w:rsidRPr="00733F3D">
        <w:fldChar w:fldCharType="begin"/>
      </w:r>
      <w:r w:rsidRPr="00733F3D">
        <w:instrText xml:space="preserve"> SEQ Table \* ARABIC </w:instrText>
      </w:r>
      <w:r w:rsidRPr="00733F3D">
        <w:fldChar w:fldCharType="separate"/>
      </w:r>
      <w:r w:rsidRPr="00733F3D">
        <w:t>2</w:t>
      </w:r>
      <w:r w:rsidRPr="00733F3D">
        <w:fldChar w:fldCharType="end"/>
      </w:r>
      <w:r w:rsidRPr="00733F3D">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D77FA3" w:rsidRPr="00733F3D" w:rsidTr="00C66449">
        <w:trPr>
          <w:jc w:val="center"/>
        </w:trPr>
        <w:tc>
          <w:tcPr>
            <w:tcW w:w="4226" w:type="dxa"/>
          </w:tcPr>
          <w:p w:rsidR="00D77FA3" w:rsidRPr="00733F3D" w:rsidRDefault="00D77FA3" w:rsidP="00C66449">
            <w:pPr>
              <w:adjustRightInd w:val="0"/>
              <w:snapToGrid w:val="0"/>
              <w:spacing w:after="0"/>
              <w:jc w:val="center"/>
              <w:rPr>
                <w:lang w:eastAsia="ja-JP"/>
              </w:rPr>
            </w:pPr>
            <w:r w:rsidRPr="00733F3D">
              <w:rPr>
                <w:lang w:eastAsia="ja-JP"/>
              </w:rPr>
              <w:t>Simulation parameters</w:t>
            </w:r>
          </w:p>
        </w:tc>
        <w:tc>
          <w:tcPr>
            <w:tcW w:w="5087" w:type="dxa"/>
          </w:tcPr>
          <w:p w:rsidR="00D77FA3" w:rsidRPr="00733F3D" w:rsidRDefault="00D77FA3" w:rsidP="00C66449">
            <w:pPr>
              <w:adjustRightInd w:val="0"/>
              <w:snapToGrid w:val="0"/>
              <w:spacing w:after="0"/>
              <w:jc w:val="center"/>
              <w:rPr>
                <w:lang w:eastAsia="ja-JP"/>
              </w:rPr>
            </w:pPr>
            <w:r w:rsidRPr="00733F3D">
              <w:rPr>
                <w:lang w:eastAsia="ja-JP"/>
              </w:rPr>
              <w:t>Comments/values</w:t>
            </w:r>
          </w:p>
        </w:tc>
      </w:tr>
      <w:tr w:rsidR="00D77FA3" w:rsidRPr="00733F3D" w:rsidTr="00C66449">
        <w:trPr>
          <w:jc w:val="center"/>
        </w:trPr>
        <w:tc>
          <w:tcPr>
            <w:tcW w:w="4226" w:type="dxa"/>
          </w:tcPr>
          <w:p w:rsidR="00D77FA3" w:rsidRPr="00733F3D" w:rsidRDefault="00D77FA3" w:rsidP="00C66449">
            <w:pPr>
              <w:adjustRightInd w:val="0"/>
              <w:snapToGrid w:val="0"/>
              <w:spacing w:after="0"/>
              <w:jc w:val="center"/>
              <w:rPr>
                <w:lang w:eastAsia="ja-JP"/>
              </w:rPr>
            </w:pPr>
            <w:r w:rsidRPr="00733F3D">
              <w:t xml:space="preserve">False detect threshold </w:t>
            </w:r>
          </w:p>
        </w:tc>
        <w:tc>
          <w:tcPr>
            <w:tcW w:w="5087" w:type="dxa"/>
          </w:tcPr>
          <w:p w:rsidR="00D77FA3" w:rsidRPr="00733F3D" w:rsidRDefault="00D77FA3" w:rsidP="00C66449">
            <w:pPr>
              <w:adjustRightInd w:val="0"/>
              <w:snapToGrid w:val="0"/>
              <w:spacing w:after="0"/>
              <w:jc w:val="center"/>
              <w:rPr>
                <w:lang w:eastAsia="ja-JP"/>
              </w:rPr>
            </w:pPr>
            <w:r w:rsidRPr="00733F3D">
              <w:t>Required as in a real UE implementation</w:t>
            </w:r>
          </w:p>
        </w:tc>
      </w:tr>
      <w:tr w:rsidR="00D77FA3" w:rsidRPr="00733F3D" w:rsidTr="00C66449">
        <w:trPr>
          <w:jc w:val="center"/>
        </w:trPr>
        <w:tc>
          <w:tcPr>
            <w:tcW w:w="4226" w:type="dxa"/>
          </w:tcPr>
          <w:p w:rsidR="00D77FA3" w:rsidRPr="00733F3D" w:rsidRDefault="00D77FA3" w:rsidP="00C66449">
            <w:pPr>
              <w:adjustRightInd w:val="0"/>
              <w:snapToGrid w:val="0"/>
              <w:spacing w:after="0"/>
              <w:jc w:val="center"/>
              <w:rPr>
                <w:lang w:eastAsia="ja-JP"/>
              </w:rPr>
            </w:pPr>
            <w:r w:rsidRPr="00733F3D">
              <w:t>UE having apriority knowledge of system being synchronous or asynchronous</w:t>
            </w:r>
          </w:p>
        </w:tc>
        <w:tc>
          <w:tcPr>
            <w:tcW w:w="5087" w:type="dxa"/>
          </w:tcPr>
          <w:p w:rsidR="00D77FA3" w:rsidRPr="00733F3D" w:rsidRDefault="00D77FA3" w:rsidP="00C66449">
            <w:pPr>
              <w:adjustRightInd w:val="0"/>
              <w:snapToGrid w:val="0"/>
              <w:spacing w:after="0"/>
              <w:jc w:val="center"/>
              <w:rPr>
                <w:lang w:eastAsia="ja-JP"/>
              </w:rPr>
            </w:pPr>
            <w:r w:rsidRPr="00733F3D">
              <w:rPr>
                <w:lang w:eastAsia="ja-JP"/>
              </w:rPr>
              <w:t>No</w:t>
            </w:r>
          </w:p>
        </w:tc>
      </w:tr>
      <w:tr w:rsidR="00D77FA3" w:rsidRPr="00733F3D" w:rsidTr="00C66449">
        <w:trPr>
          <w:jc w:val="center"/>
        </w:trPr>
        <w:tc>
          <w:tcPr>
            <w:tcW w:w="4226" w:type="dxa"/>
          </w:tcPr>
          <w:p w:rsidR="00D77FA3" w:rsidRPr="00733F3D" w:rsidRDefault="00D77FA3" w:rsidP="00C66449">
            <w:pPr>
              <w:adjustRightInd w:val="0"/>
              <w:snapToGrid w:val="0"/>
              <w:spacing w:after="0"/>
              <w:jc w:val="center"/>
              <w:rPr>
                <w:lang w:eastAsia="ja-JP"/>
              </w:rPr>
            </w:pPr>
            <w:r w:rsidRPr="00733F3D">
              <w:rPr>
                <w:lang w:eastAsia="ja-JP"/>
              </w:rPr>
              <w:t>Performance criterion for comparison</w:t>
            </w:r>
          </w:p>
        </w:tc>
        <w:tc>
          <w:tcPr>
            <w:tcW w:w="5087" w:type="dxa"/>
          </w:tcPr>
          <w:p w:rsidR="00D77FA3" w:rsidRPr="00733F3D" w:rsidRDefault="00D77FA3" w:rsidP="00C66449">
            <w:pPr>
              <w:adjustRightInd w:val="0"/>
              <w:snapToGrid w:val="0"/>
              <w:spacing w:after="0"/>
              <w:jc w:val="center"/>
              <w:rPr>
                <w:lang w:eastAsia="ja-JP"/>
              </w:rPr>
            </w:pPr>
            <w:r w:rsidRPr="00733F3D">
              <w:rPr>
                <w:lang w:eastAsia="ja-JP"/>
              </w:rPr>
              <w:t>90</w:t>
            </w:r>
            <w:r w:rsidRPr="00733F3D">
              <w:rPr>
                <w:vertAlign w:val="superscript"/>
                <w:lang w:eastAsia="ja-JP"/>
              </w:rPr>
              <w:t>th</w:t>
            </w:r>
            <w:r w:rsidRPr="00733F3D">
              <w:rPr>
                <w:lang w:eastAsia="ja-JP"/>
              </w:rPr>
              <w:t xml:space="preserve"> percentile acquisition time for “correct” cell detection of both PSS and SSS sequence IDs.</w:t>
            </w:r>
          </w:p>
        </w:tc>
      </w:tr>
      <w:tr w:rsidR="00D77FA3" w:rsidRPr="00733F3D" w:rsidTr="00C66449">
        <w:trPr>
          <w:jc w:val="center"/>
        </w:trPr>
        <w:tc>
          <w:tcPr>
            <w:tcW w:w="4226" w:type="dxa"/>
          </w:tcPr>
          <w:p w:rsidR="00D77FA3" w:rsidRPr="00733F3D" w:rsidRDefault="00D77FA3" w:rsidP="00C66449">
            <w:pPr>
              <w:adjustRightInd w:val="0"/>
              <w:snapToGrid w:val="0"/>
              <w:spacing w:after="0"/>
              <w:jc w:val="center"/>
              <w:rPr>
                <w:lang w:eastAsia="ja-JP"/>
              </w:rPr>
            </w:pPr>
            <w:r w:rsidRPr="00733F3D">
              <w:rPr>
                <w:lang w:eastAsia="ja-JP"/>
              </w:rPr>
              <w:t>CP length detection</w:t>
            </w:r>
          </w:p>
        </w:tc>
        <w:tc>
          <w:tcPr>
            <w:tcW w:w="5087" w:type="dxa"/>
          </w:tcPr>
          <w:p w:rsidR="00D77FA3" w:rsidRPr="00733F3D" w:rsidRDefault="00D77FA3" w:rsidP="00C66449">
            <w:pPr>
              <w:adjustRightInd w:val="0"/>
              <w:snapToGrid w:val="0"/>
              <w:spacing w:after="0"/>
              <w:jc w:val="center"/>
              <w:rPr>
                <w:lang w:eastAsia="ja-JP"/>
              </w:rPr>
            </w:pPr>
            <w:r w:rsidRPr="00733F3D">
              <w:rPr>
                <w:lang w:eastAsia="ja-JP"/>
              </w:rPr>
              <w:t>Not simulated</w:t>
            </w:r>
          </w:p>
        </w:tc>
      </w:tr>
      <w:tr w:rsidR="00D77FA3" w:rsidRPr="00733F3D" w:rsidTr="00C66449">
        <w:trPr>
          <w:jc w:val="center"/>
        </w:trPr>
        <w:tc>
          <w:tcPr>
            <w:tcW w:w="4226" w:type="dxa"/>
            <w:shd w:val="clear" w:color="auto" w:fill="auto"/>
          </w:tcPr>
          <w:p w:rsidR="00D77FA3" w:rsidRPr="00C72B02" w:rsidRDefault="00D77FA3" w:rsidP="00C66449">
            <w:pPr>
              <w:adjustRightInd w:val="0"/>
              <w:snapToGrid w:val="0"/>
              <w:spacing w:after="0"/>
              <w:jc w:val="center"/>
              <w:rPr>
                <w:lang w:eastAsia="ja-JP"/>
              </w:rPr>
            </w:pPr>
            <w:r w:rsidRPr="00C72B02">
              <w:t>Receive antennas</w:t>
            </w:r>
          </w:p>
        </w:tc>
        <w:tc>
          <w:tcPr>
            <w:tcW w:w="5087" w:type="dxa"/>
            <w:shd w:val="clear" w:color="auto" w:fill="auto"/>
          </w:tcPr>
          <w:p w:rsidR="00D77FA3" w:rsidRPr="00C72B02" w:rsidRDefault="00D77FA3" w:rsidP="00236CBD">
            <w:pPr>
              <w:adjustRightInd w:val="0"/>
              <w:snapToGrid w:val="0"/>
              <w:spacing w:after="0"/>
              <w:jc w:val="center"/>
            </w:pPr>
            <w:r w:rsidRPr="00C72B02">
              <w:rPr>
                <w:rFonts w:hint="eastAsia"/>
              </w:rPr>
              <w:t>2</w:t>
            </w:r>
            <w:r w:rsidR="00236CBD">
              <w:t xml:space="preserve"> </w:t>
            </w:r>
            <w:r>
              <w:t>(</w:t>
            </w:r>
            <w:r w:rsidRPr="00C72B02">
              <w:rPr>
                <w:rFonts w:hint="eastAsia"/>
              </w:rPr>
              <w:t>Without receiver beamforming</w:t>
            </w:r>
            <w:r>
              <w:t>)</w:t>
            </w:r>
          </w:p>
        </w:tc>
      </w:tr>
    </w:tbl>
    <w:p w:rsidR="00D77FA3" w:rsidRPr="00733F3D" w:rsidRDefault="00D77FA3" w:rsidP="00D77FA3">
      <w:pPr>
        <w:spacing w:after="120"/>
      </w:pPr>
    </w:p>
    <w:sectPr w:rsidR="00D77FA3" w:rsidRPr="00733F3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FCE" w:rsidRDefault="00495FCE">
      <w:r>
        <w:separator/>
      </w:r>
    </w:p>
  </w:endnote>
  <w:endnote w:type="continuationSeparator" w:id="0">
    <w:p w:rsidR="00495FCE" w:rsidRDefault="0049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FCE" w:rsidRDefault="00495FCE">
      <w:r>
        <w:separator/>
      </w:r>
    </w:p>
  </w:footnote>
  <w:footnote w:type="continuationSeparator" w:id="0">
    <w:p w:rsidR="00495FCE" w:rsidRDefault="00495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4"/>
  </w:num>
  <w:num w:numId="3">
    <w:abstractNumId w:val="6"/>
  </w:num>
  <w:num w:numId="4">
    <w:abstractNumId w:val="1"/>
  </w:num>
  <w:num w:numId="5">
    <w:abstractNumId w:val="2"/>
  </w:num>
  <w:num w:numId="6">
    <w:abstractNumId w:val="16"/>
  </w:num>
  <w:num w:numId="7">
    <w:abstractNumId w:val="10"/>
  </w:num>
  <w:num w:numId="8">
    <w:abstractNumId w:val="9"/>
  </w:num>
  <w:num w:numId="9">
    <w:abstractNumId w:val="3"/>
  </w:num>
  <w:num w:numId="10">
    <w:abstractNumId w:val="4"/>
  </w:num>
  <w:num w:numId="11">
    <w:abstractNumId w:val="8"/>
  </w:num>
  <w:num w:numId="12">
    <w:abstractNumId w:val="0"/>
  </w:num>
  <w:num w:numId="13">
    <w:abstractNumId w:val="7"/>
  </w:num>
  <w:num w:numId="14">
    <w:abstractNumId w:val="11"/>
  </w:num>
  <w:num w:numId="15">
    <w:abstractNumId w:val="12"/>
  </w:num>
  <w:num w:numId="16">
    <w:abstractNumId w:val="5"/>
  </w:num>
  <w:num w:numId="1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823"/>
    <w:rsid w:val="00011779"/>
    <w:rsid w:val="00011B0F"/>
    <w:rsid w:val="0001295C"/>
    <w:rsid w:val="00012A64"/>
    <w:rsid w:val="00013939"/>
    <w:rsid w:val="00013D89"/>
    <w:rsid w:val="000141ED"/>
    <w:rsid w:val="00014715"/>
    <w:rsid w:val="00014E8B"/>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622D"/>
    <w:rsid w:val="00026819"/>
    <w:rsid w:val="0002728F"/>
    <w:rsid w:val="00027CD8"/>
    <w:rsid w:val="00030F5E"/>
    <w:rsid w:val="00031924"/>
    <w:rsid w:val="0003194C"/>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4D6"/>
    <w:rsid w:val="0008259C"/>
    <w:rsid w:val="000836C7"/>
    <w:rsid w:val="0008384E"/>
    <w:rsid w:val="00083C5B"/>
    <w:rsid w:val="00083FB0"/>
    <w:rsid w:val="00083FEB"/>
    <w:rsid w:val="00084276"/>
    <w:rsid w:val="00084304"/>
    <w:rsid w:val="00084CBD"/>
    <w:rsid w:val="00085612"/>
    <w:rsid w:val="00085BD1"/>
    <w:rsid w:val="000863AB"/>
    <w:rsid w:val="00086950"/>
    <w:rsid w:val="0008734C"/>
    <w:rsid w:val="00087858"/>
    <w:rsid w:val="00090073"/>
    <w:rsid w:val="00090ED4"/>
    <w:rsid w:val="000917DB"/>
    <w:rsid w:val="00091F15"/>
    <w:rsid w:val="00091F51"/>
    <w:rsid w:val="0009343C"/>
    <w:rsid w:val="000934B5"/>
    <w:rsid w:val="00093B47"/>
    <w:rsid w:val="000942A1"/>
    <w:rsid w:val="0009580C"/>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21D"/>
    <w:rsid w:val="000C658B"/>
    <w:rsid w:val="000C662C"/>
    <w:rsid w:val="000C67B3"/>
    <w:rsid w:val="000C6E02"/>
    <w:rsid w:val="000C772F"/>
    <w:rsid w:val="000D0027"/>
    <w:rsid w:val="000D0335"/>
    <w:rsid w:val="000D08C9"/>
    <w:rsid w:val="000D1281"/>
    <w:rsid w:val="000D1577"/>
    <w:rsid w:val="000D2B90"/>
    <w:rsid w:val="000D3912"/>
    <w:rsid w:val="000D4B1B"/>
    <w:rsid w:val="000D56E8"/>
    <w:rsid w:val="000D59AC"/>
    <w:rsid w:val="000D5A2D"/>
    <w:rsid w:val="000D6626"/>
    <w:rsid w:val="000D6D54"/>
    <w:rsid w:val="000D7412"/>
    <w:rsid w:val="000D7D65"/>
    <w:rsid w:val="000E0C7D"/>
    <w:rsid w:val="000E14B3"/>
    <w:rsid w:val="000E166B"/>
    <w:rsid w:val="000E1BB5"/>
    <w:rsid w:val="000E27CF"/>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6B7"/>
    <w:rsid w:val="00130D02"/>
    <w:rsid w:val="00130DEB"/>
    <w:rsid w:val="00131070"/>
    <w:rsid w:val="00131636"/>
    <w:rsid w:val="00131735"/>
    <w:rsid w:val="00131E70"/>
    <w:rsid w:val="00131E9B"/>
    <w:rsid w:val="0013201C"/>
    <w:rsid w:val="00132111"/>
    <w:rsid w:val="001323F1"/>
    <w:rsid w:val="00132D95"/>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47E"/>
    <w:rsid w:val="001501F9"/>
    <w:rsid w:val="00150222"/>
    <w:rsid w:val="0015087F"/>
    <w:rsid w:val="00151039"/>
    <w:rsid w:val="00151B29"/>
    <w:rsid w:val="0015216A"/>
    <w:rsid w:val="00152F51"/>
    <w:rsid w:val="00152FB5"/>
    <w:rsid w:val="0015350C"/>
    <w:rsid w:val="00153CE8"/>
    <w:rsid w:val="001542E6"/>
    <w:rsid w:val="0015441A"/>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C59"/>
    <w:rsid w:val="001B55B0"/>
    <w:rsid w:val="001B63E6"/>
    <w:rsid w:val="001B6BFB"/>
    <w:rsid w:val="001B7093"/>
    <w:rsid w:val="001B7F8C"/>
    <w:rsid w:val="001C016A"/>
    <w:rsid w:val="001C0683"/>
    <w:rsid w:val="001C0784"/>
    <w:rsid w:val="001C125B"/>
    <w:rsid w:val="001C14EC"/>
    <w:rsid w:val="001C15DA"/>
    <w:rsid w:val="001C2489"/>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ABA"/>
    <w:rsid w:val="001D2C8A"/>
    <w:rsid w:val="001D3830"/>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6CF5"/>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EFC"/>
    <w:rsid w:val="001F74C3"/>
    <w:rsid w:val="001F7BB2"/>
    <w:rsid w:val="001F7D48"/>
    <w:rsid w:val="0020044D"/>
    <w:rsid w:val="0020051C"/>
    <w:rsid w:val="00200FC8"/>
    <w:rsid w:val="002027D9"/>
    <w:rsid w:val="00202B08"/>
    <w:rsid w:val="00203389"/>
    <w:rsid w:val="002046F8"/>
    <w:rsid w:val="00204B3A"/>
    <w:rsid w:val="00205244"/>
    <w:rsid w:val="00205C67"/>
    <w:rsid w:val="00205DC1"/>
    <w:rsid w:val="00205F2A"/>
    <w:rsid w:val="00207064"/>
    <w:rsid w:val="00207CC5"/>
    <w:rsid w:val="00207D20"/>
    <w:rsid w:val="00207ED9"/>
    <w:rsid w:val="002104D2"/>
    <w:rsid w:val="00210691"/>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FC7"/>
    <w:rsid w:val="00232B4D"/>
    <w:rsid w:val="00232EC0"/>
    <w:rsid w:val="002332B9"/>
    <w:rsid w:val="002333AC"/>
    <w:rsid w:val="0023360D"/>
    <w:rsid w:val="00233C5D"/>
    <w:rsid w:val="00233CB9"/>
    <w:rsid w:val="00233DFB"/>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DB0"/>
    <w:rsid w:val="002551A0"/>
    <w:rsid w:val="0025581D"/>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7410"/>
    <w:rsid w:val="0026792B"/>
    <w:rsid w:val="00270387"/>
    <w:rsid w:val="00271B44"/>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6AA2"/>
    <w:rsid w:val="0027780A"/>
    <w:rsid w:val="00277836"/>
    <w:rsid w:val="00280062"/>
    <w:rsid w:val="002801D5"/>
    <w:rsid w:val="002804F5"/>
    <w:rsid w:val="002805E5"/>
    <w:rsid w:val="00281542"/>
    <w:rsid w:val="00282ACE"/>
    <w:rsid w:val="00282B68"/>
    <w:rsid w:val="00282EB8"/>
    <w:rsid w:val="00283083"/>
    <w:rsid w:val="00283311"/>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7275"/>
    <w:rsid w:val="002A7EFD"/>
    <w:rsid w:val="002A7F4E"/>
    <w:rsid w:val="002B132E"/>
    <w:rsid w:val="002B1398"/>
    <w:rsid w:val="002B19F1"/>
    <w:rsid w:val="002B2813"/>
    <w:rsid w:val="002B2FC4"/>
    <w:rsid w:val="002B3332"/>
    <w:rsid w:val="002B3404"/>
    <w:rsid w:val="002B35DB"/>
    <w:rsid w:val="002B3642"/>
    <w:rsid w:val="002B3988"/>
    <w:rsid w:val="002B3BC1"/>
    <w:rsid w:val="002B3ECB"/>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31D"/>
    <w:rsid w:val="002C6990"/>
    <w:rsid w:val="002C69E5"/>
    <w:rsid w:val="002C7402"/>
    <w:rsid w:val="002C7829"/>
    <w:rsid w:val="002D0792"/>
    <w:rsid w:val="002D1181"/>
    <w:rsid w:val="002D18AA"/>
    <w:rsid w:val="002D1B3F"/>
    <w:rsid w:val="002D33DC"/>
    <w:rsid w:val="002D365F"/>
    <w:rsid w:val="002D3909"/>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F8"/>
    <w:rsid w:val="002F72DA"/>
    <w:rsid w:val="002F7FF6"/>
    <w:rsid w:val="0030017A"/>
    <w:rsid w:val="003002F9"/>
    <w:rsid w:val="00301089"/>
    <w:rsid w:val="0030128C"/>
    <w:rsid w:val="00301AA6"/>
    <w:rsid w:val="00301D6C"/>
    <w:rsid w:val="0030279D"/>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F76"/>
    <w:rsid w:val="00315DDF"/>
    <w:rsid w:val="00316164"/>
    <w:rsid w:val="00316B4F"/>
    <w:rsid w:val="00316E38"/>
    <w:rsid w:val="00316E73"/>
    <w:rsid w:val="00317E30"/>
    <w:rsid w:val="00317EC3"/>
    <w:rsid w:val="0032007B"/>
    <w:rsid w:val="003205EB"/>
    <w:rsid w:val="003208EF"/>
    <w:rsid w:val="00320A11"/>
    <w:rsid w:val="00321418"/>
    <w:rsid w:val="0032146E"/>
    <w:rsid w:val="0032170A"/>
    <w:rsid w:val="00321852"/>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AF3"/>
    <w:rsid w:val="00341B77"/>
    <w:rsid w:val="0034222E"/>
    <w:rsid w:val="003429AC"/>
    <w:rsid w:val="00342E17"/>
    <w:rsid w:val="00342E44"/>
    <w:rsid w:val="0034371C"/>
    <w:rsid w:val="00343854"/>
    <w:rsid w:val="003447A5"/>
    <w:rsid w:val="00345022"/>
    <w:rsid w:val="00345F76"/>
    <w:rsid w:val="00346539"/>
    <w:rsid w:val="0034688E"/>
    <w:rsid w:val="00346A2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717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4D1"/>
    <w:rsid w:val="003C1699"/>
    <w:rsid w:val="003C2408"/>
    <w:rsid w:val="003C2834"/>
    <w:rsid w:val="003C2925"/>
    <w:rsid w:val="003C2CC7"/>
    <w:rsid w:val="003C3788"/>
    <w:rsid w:val="003C447D"/>
    <w:rsid w:val="003C49E6"/>
    <w:rsid w:val="003C5463"/>
    <w:rsid w:val="003C60FA"/>
    <w:rsid w:val="003C6CA4"/>
    <w:rsid w:val="003C6E49"/>
    <w:rsid w:val="003C778B"/>
    <w:rsid w:val="003C78B6"/>
    <w:rsid w:val="003C79A7"/>
    <w:rsid w:val="003C7E14"/>
    <w:rsid w:val="003D01A6"/>
    <w:rsid w:val="003D01F4"/>
    <w:rsid w:val="003D04D4"/>
    <w:rsid w:val="003D24D5"/>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50F5"/>
    <w:rsid w:val="00415377"/>
    <w:rsid w:val="004153A3"/>
    <w:rsid w:val="004163D1"/>
    <w:rsid w:val="00416AEA"/>
    <w:rsid w:val="004176FF"/>
    <w:rsid w:val="0042028C"/>
    <w:rsid w:val="00421290"/>
    <w:rsid w:val="004213ED"/>
    <w:rsid w:val="004218CE"/>
    <w:rsid w:val="00421B79"/>
    <w:rsid w:val="004220D1"/>
    <w:rsid w:val="0042232E"/>
    <w:rsid w:val="004224A8"/>
    <w:rsid w:val="00423AEC"/>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619"/>
    <w:rsid w:val="00452DAB"/>
    <w:rsid w:val="00452E29"/>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E89"/>
    <w:rsid w:val="004701D9"/>
    <w:rsid w:val="004704F0"/>
    <w:rsid w:val="004710E6"/>
    <w:rsid w:val="00471965"/>
    <w:rsid w:val="00471A07"/>
    <w:rsid w:val="004721D5"/>
    <w:rsid w:val="004724E0"/>
    <w:rsid w:val="004726E2"/>
    <w:rsid w:val="00472DBC"/>
    <w:rsid w:val="00473924"/>
    <w:rsid w:val="00474255"/>
    <w:rsid w:val="00474A34"/>
    <w:rsid w:val="00474EA8"/>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8F6"/>
    <w:rsid w:val="004B1A8D"/>
    <w:rsid w:val="004B1A98"/>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1084"/>
    <w:rsid w:val="00521BFC"/>
    <w:rsid w:val="00522281"/>
    <w:rsid w:val="00523F0C"/>
    <w:rsid w:val="00525454"/>
    <w:rsid w:val="00527A83"/>
    <w:rsid w:val="00527B01"/>
    <w:rsid w:val="0053004F"/>
    <w:rsid w:val="005300F9"/>
    <w:rsid w:val="00531D76"/>
    <w:rsid w:val="00531E99"/>
    <w:rsid w:val="00532279"/>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4FF"/>
    <w:rsid w:val="00555C78"/>
    <w:rsid w:val="0055690B"/>
    <w:rsid w:val="00556F40"/>
    <w:rsid w:val="005603B3"/>
    <w:rsid w:val="00560901"/>
    <w:rsid w:val="00560B38"/>
    <w:rsid w:val="00560B6D"/>
    <w:rsid w:val="00561270"/>
    <w:rsid w:val="005612EE"/>
    <w:rsid w:val="00561D34"/>
    <w:rsid w:val="00562153"/>
    <w:rsid w:val="0056295F"/>
    <w:rsid w:val="00562EFA"/>
    <w:rsid w:val="00564CAD"/>
    <w:rsid w:val="00564FB1"/>
    <w:rsid w:val="00565A34"/>
    <w:rsid w:val="00565EDF"/>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4F13"/>
    <w:rsid w:val="005B5BAF"/>
    <w:rsid w:val="005B5DB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05D"/>
    <w:rsid w:val="005E5A6D"/>
    <w:rsid w:val="005E6405"/>
    <w:rsid w:val="005E65D7"/>
    <w:rsid w:val="005E672F"/>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DE8"/>
    <w:rsid w:val="005F6AFD"/>
    <w:rsid w:val="005F6E34"/>
    <w:rsid w:val="005F7562"/>
    <w:rsid w:val="006004FE"/>
    <w:rsid w:val="006017E3"/>
    <w:rsid w:val="00601914"/>
    <w:rsid w:val="00603167"/>
    <w:rsid w:val="00603492"/>
    <w:rsid w:val="006035AE"/>
    <w:rsid w:val="0060440B"/>
    <w:rsid w:val="0060454C"/>
    <w:rsid w:val="00604761"/>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06C"/>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80B"/>
    <w:rsid w:val="00643C2F"/>
    <w:rsid w:val="00644278"/>
    <w:rsid w:val="00644625"/>
    <w:rsid w:val="00644C01"/>
    <w:rsid w:val="00645AAA"/>
    <w:rsid w:val="00645BCA"/>
    <w:rsid w:val="00646C13"/>
    <w:rsid w:val="00647276"/>
    <w:rsid w:val="0065002A"/>
    <w:rsid w:val="00650B1E"/>
    <w:rsid w:val="00650C35"/>
    <w:rsid w:val="0065205B"/>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532"/>
    <w:rsid w:val="00665BBF"/>
    <w:rsid w:val="00665C44"/>
    <w:rsid w:val="006663BF"/>
    <w:rsid w:val="00666447"/>
    <w:rsid w:val="006675BA"/>
    <w:rsid w:val="006679FE"/>
    <w:rsid w:val="0067013D"/>
    <w:rsid w:val="0067024D"/>
    <w:rsid w:val="00670694"/>
    <w:rsid w:val="006717A3"/>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925"/>
    <w:rsid w:val="00680725"/>
    <w:rsid w:val="00680DE0"/>
    <w:rsid w:val="00681C67"/>
    <w:rsid w:val="00681DFF"/>
    <w:rsid w:val="006826FC"/>
    <w:rsid w:val="0068272C"/>
    <w:rsid w:val="00682871"/>
    <w:rsid w:val="006828EC"/>
    <w:rsid w:val="006840BB"/>
    <w:rsid w:val="006844CD"/>
    <w:rsid w:val="00684D22"/>
    <w:rsid w:val="00685557"/>
    <w:rsid w:val="00686365"/>
    <w:rsid w:val="0068651A"/>
    <w:rsid w:val="00687331"/>
    <w:rsid w:val="0068771B"/>
    <w:rsid w:val="00690307"/>
    <w:rsid w:val="00690BD0"/>
    <w:rsid w:val="00691094"/>
    <w:rsid w:val="00691214"/>
    <w:rsid w:val="006912A1"/>
    <w:rsid w:val="00691695"/>
    <w:rsid w:val="006917F2"/>
    <w:rsid w:val="0069241B"/>
    <w:rsid w:val="0069254A"/>
    <w:rsid w:val="006925C5"/>
    <w:rsid w:val="006927B7"/>
    <w:rsid w:val="006929AF"/>
    <w:rsid w:val="00692D09"/>
    <w:rsid w:val="00693268"/>
    <w:rsid w:val="006933CE"/>
    <w:rsid w:val="00693C40"/>
    <w:rsid w:val="00693CE7"/>
    <w:rsid w:val="00693E7D"/>
    <w:rsid w:val="00694294"/>
    <w:rsid w:val="006942BA"/>
    <w:rsid w:val="00694EA5"/>
    <w:rsid w:val="00696363"/>
    <w:rsid w:val="006A0044"/>
    <w:rsid w:val="006A054A"/>
    <w:rsid w:val="006A0665"/>
    <w:rsid w:val="006A0AA7"/>
    <w:rsid w:val="006A0C90"/>
    <w:rsid w:val="006A0DB6"/>
    <w:rsid w:val="006A11FB"/>
    <w:rsid w:val="006A1828"/>
    <w:rsid w:val="006A1EEA"/>
    <w:rsid w:val="006A2A88"/>
    <w:rsid w:val="006A2B35"/>
    <w:rsid w:val="006A2EFE"/>
    <w:rsid w:val="006A3CF1"/>
    <w:rsid w:val="006A3EB1"/>
    <w:rsid w:val="006A3ECE"/>
    <w:rsid w:val="006A4D29"/>
    <w:rsid w:val="006A5123"/>
    <w:rsid w:val="006A5595"/>
    <w:rsid w:val="006A5FF7"/>
    <w:rsid w:val="006A6C06"/>
    <w:rsid w:val="006A6E95"/>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020"/>
    <w:rsid w:val="006C3587"/>
    <w:rsid w:val="006C37A2"/>
    <w:rsid w:val="006C3825"/>
    <w:rsid w:val="006C3EFD"/>
    <w:rsid w:val="006C4905"/>
    <w:rsid w:val="006C4A5D"/>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509D"/>
    <w:rsid w:val="006E5A34"/>
    <w:rsid w:val="006E6613"/>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779"/>
    <w:rsid w:val="006F5F5A"/>
    <w:rsid w:val="006F6552"/>
    <w:rsid w:val="006F679B"/>
    <w:rsid w:val="006F7557"/>
    <w:rsid w:val="006F7774"/>
    <w:rsid w:val="006F7BFE"/>
    <w:rsid w:val="00700806"/>
    <w:rsid w:val="007019E0"/>
    <w:rsid w:val="00701B15"/>
    <w:rsid w:val="00701BD2"/>
    <w:rsid w:val="00701CED"/>
    <w:rsid w:val="00701FBB"/>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3EA"/>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C6F"/>
    <w:rsid w:val="00727DF5"/>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6085"/>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8D5"/>
    <w:rsid w:val="007749BC"/>
    <w:rsid w:val="0077548E"/>
    <w:rsid w:val="007754FD"/>
    <w:rsid w:val="007759C7"/>
    <w:rsid w:val="00775BF3"/>
    <w:rsid w:val="00775F29"/>
    <w:rsid w:val="00776C35"/>
    <w:rsid w:val="00777654"/>
    <w:rsid w:val="007808BA"/>
    <w:rsid w:val="0078134E"/>
    <w:rsid w:val="007821E8"/>
    <w:rsid w:val="0078241D"/>
    <w:rsid w:val="007827EE"/>
    <w:rsid w:val="00782AEA"/>
    <w:rsid w:val="00783D86"/>
    <w:rsid w:val="0078457B"/>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5F52"/>
    <w:rsid w:val="00797B5D"/>
    <w:rsid w:val="00797FC7"/>
    <w:rsid w:val="007A037B"/>
    <w:rsid w:val="007A049F"/>
    <w:rsid w:val="007A0A67"/>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4E1"/>
    <w:rsid w:val="007B308F"/>
    <w:rsid w:val="007B3345"/>
    <w:rsid w:val="007B33E8"/>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9D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4777"/>
    <w:rsid w:val="007E4F09"/>
    <w:rsid w:val="007E5401"/>
    <w:rsid w:val="007E5CFD"/>
    <w:rsid w:val="007E6002"/>
    <w:rsid w:val="007E6C6F"/>
    <w:rsid w:val="007E7692"/>
    <w:rsid w:val="007F0715"/>
    <w:rsid w:val="007F08BC"/>
    <w:rsid w:val="007F0B07"/>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C84"/>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8BC"/>
    <w:rsid w:val="008869C6"/>
    <w:rsid w:val="008879A3"/>
    <w:rsid w:val="008900A2"/>
    <w:rsid w:val="00890772"/>
    <w:rsid w:val="00890A5A"/>
    <w:rsid w:val="00891264"/>
    <w:rsid w:val="00891585"/>
    <w:rsid w:val="008916D3"/>
    <w:rsid w:val="00891B74"/>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702D"/>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9A3"/>
    <w:rsid w:val="008E4790"/>
    <w:rsid w:val="008E4F3E"/>
    <w:rsid w:val="008E50FB"/>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636F"/>
    <w:rsid w:val="00926896"/>
    <w:rsid w:val="00926B9C"/>
    <w:rsid w:val="00926E58"/>
    <w:rsid w:val="00927523"/>
    <w:rsid w:val="00927A74"/>
    <w:rsid w:val="009300C9"/>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4D2"/>
    <w:rsid w:val="00954753"/>
    <w:rsid w:val="009552A7"/>
    <w:rsid w:val="00955CE5"/>
    <w:rsid w:val="0095610C"/>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46B"/>
    <w:rsid w:val="00971506"/>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416"/>
    <w:rsid w:val="009A69C2"/>
    <w:rsid w:val="009A6C80"/>
    <w:rsid w:val="009A6E4A"/>
    <w:rsid w:val="009A7073"/>
    <w:rsid w:val="009A7092"/>
    <w:rsid w:val="009A79E0"/>
    <w:rsid w:val="009A7A21"/>
    <w:rsid w:val="009B0222"/>
    <w:rsid w:val="009B08C9"/>
    <w:rsid w:val="009B0D60"/>
    <w:rsid w:val="009B13B3"/>
    <w:rsid w:val="009B15BA"/>
    <w:rsid w:val="009B2475"/>
    <w:rsid w:val="009B2799"/>
    <w:rsid w:val="009B38C0"/>
    <w:rsid w:val="009B3C87"/>
    <w:rsid w:val="009B3D03"/>
    <w:rsid w:val="009B3FD9"/>
    <w:rsid w:val="009B43CD"/>
    <w:rsid w:val="009B4402"/>
    <w:rsid w:val="009B52DA"/>
    <w:rsid w:val="009B54D7"/>
    <w:rsid w:val="009B5510"/>
    <w:rsid w:val="009B5530"/>
    <w:rsid w:val="009B5A50"/>
    <w:rsid w:val="009B6A01"/>
    <w:rsid w:val="009B6E5E"/>
    <w:rsid w:val="009C0054"/>
    <w:rsid w:val="009C02E7"/>
    <w:rsid w:val="009C0E50"/>
    <w:rsid w:val="009C1262"/>
    <w:rsid w:val="009C1BFC"/>
    <w:rsid w:val="009C1E8C"/>
    <w:rsid w:val="009C213E"/>
    <w:rsid w:val="009C2D5D"/>
    <w:rsid w:val="009C2DD2"/>
    <w:rsid w:val="009C357D"/>
    <w:rsid w:val="009C3AD7"/>
    <w:rsid w:val="009C3D52"/>
    <w:rsid w:val="009C46E7"/>
    <w:rsid w:val="009C4EB2"/>
    <w:rsid w:val="009C51D5"/>
    <w:rsid w:val="009C56FA"/>
    <w:rsid w:val="009C57B6"/>
    <w:rsid w:val="009C5B86"/>
    <w:rsid w:val="009C6B52"/>
    <w:rsid w:val="009C7119"/>
    <w:rsid w:val="009C760A"/>
    <w:rsid w:val="009D0004"/>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8C9"/>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209"/>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2317"/>
    <w:rsid w:val="00A8293D"/>
    <w:rsid w:val="00A83337"/>
    <w:rsid w:val="00A83BE5"/>
    <w:rsid w:val="00A83F92"/>
    <w:rsid w:val="00A842E9"/>
    <w:rsid w:val="00A84B1E"/>
    <w:rsid w:val="00A84CAA"/>
    <w:rsid w:val="00A84F70"/>
    <w:rsid w:val="00A85097"/>
    <w:rsid w:val="00A853AE"/>
    <w:rsid w:val="00A85568"/>
    <w:rsid w:val="00A85FA4"/>
    <w:rsid w:val="00A86633"/>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5065"/>
    <w:rsid w:val="00AC5746"/>
    <w:rsid w:val="00AC589B"/>
    <w:rsid w:val="00AC6C8E"/>
    <w:rsid w:val="00AC6F34"/>
    <w:rsid w:val="00AC70B0"/>
    <w:rsid w:val="00AC7460"/>
    <w:rsid w:val="00AD0C33"/>
    <w:rsid w:val="00AD0E18"/>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2DF5"/>
    <w:rsid w:val="00B12F00"/>
    <w:rsid w:val="00B13CF8"/>
    <w:rsid w:val="00B14F9D"/>
    <w:rsid w:val="00B1513F"/>
    <w:rsid w:val="00B15201"/>
    <w:rsid w:val="00B157F6"/>
    <w:rsid w:val="00B159A0"/>
    <w:rsid w:val="00B15A77"/>
    <w:rsid w:val="00B15B52"/>
    <w:rsid w:val="00B175E8"/>
    <w:rsid w:val="00B1797A"/>
    <w:rsid w:val="00B2019B"/>
    <w:rsid w:val="00B204BD"/>
    <w:rsid w:val="00B205C5"/>
    <w:rsid w:val="00B2086D"/>
    <w:rsid w:val="00B215D9"/>
    <w:rsid w:val="00B21C54"/>
    <w:rsid w:val="00B2289B"/>
    <w:rsid w:val="00B22A6A"/>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604D"/>
    <w:rsid w:val="00B3670A"/>
    <w:rsid w:val="00B3799F"/>
    <w:rsid w:val="00B37F49"/>
    <w:rsid w:val="00B37F5A"/>
    <w:rsid w:val="00B40186"/>
    <w:rsid w:val="00B40B6C"/>
    <w:rsid w:val="00B4132E"/>
    <w:rsid w:val="00B416AE"/>
    <w:rsid w:val="00B41F22"/>
    <w:rsid w:val="00B42165"/>
    <w:rsid w:val="00B421B0"/>
    <w:rsid w:val="00B4229E"/>
    <w:rsid w:val="00B43347"/>
    <w:rsid w:val="00B435DA"/>
    <w:rsid w:val="00B43E31"/>
    <w:rsid w:val="00B449A9"/>
    <w:rsid w:val="00B44A60"/>
    <w:rsid w:val="00B44FEF"/>
    <w:rsid w:val="00B45015"/>
    <w:rsid w:val="00B47773"/>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6D14"/>
    <w:rsid w:val="00B572BE"/>
    <w:rsid w:val="00B577F3"/>
    <w:rsid w:val="00B57E0A"/>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F37"/>
    <w:rsid w:val="00B80343"/>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776"/>
    <w:rsid w:val="00B9378B"/>
    <w:rsid w:val="00B944DA"/>
    <w:rsid w:val="00B94C9F"/>
    <w:rsid w:val="00B94E0E"/>
    <w:rsid w:val="00B957D5"/>
    <w:rsid w:val="00B95BAF"/>
    <w:rsid w:val="00B95BF9"/>
    <w:rsid w:val="00B95ED7"/>
    <w:rsid w:val="00B9643E"/>
    <w:rsid w:val="00B96A72"/>
    <w:rsid w:val="00B975FF"/>
    <w:rsid w:val="00B97971"/>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32E3"/>
    <w:rsid w:val="00BF3B5F"/>
    <w:rsid w:val="00BF4471"/>
    <w:rsid w:val="00BF522D"/>
    <w:rsid w:val="00BF5336"/>
    <w:rsid w:val="00BF658E"/>
    <w:rsid w:val="00BF6646"/>
    <w:rsid w:val="00BF6780"/>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FC4"/>
    <w:rsid w:val="00C3129C"/>
    <w:rsid w:val="00C31BA6"/>
    <w:rsid w:val="00C32B36"/>
    <w:rsid w:val="00C34364"/>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2AD9"/>
    <w:rsid w:val="00C6341D"/>
    <w:rsid w:val="00C635B9"/>
    <w:rsid w:val="00C645BF"/>
    <w:rsid w:val="00C6490D"/>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2A3"/>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C78"/>
    <w:rsid w:val="00CD43BF"/>
    <w:rsid w:val="00CD4BAB"/>
    <w:rsid w:val="00CD4C64"/>
    <w:rsid w:val="00CD4FA8"/>
    <w:rsid w:val="00CD5F26"/>
    <w:rsid w:val="00CD621D"/>
    <w:rsid w:val="00CD6536"/>
    <w:rsid w:val="00CD65E7"/>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63C6"/>
    <w:rsid w:val="00CE6507"/>
    <w:rsid w:val="00CE7EFA"/>
    <w:rsid w:val="00CE7F63"/>
    <w:rsid w:val="00CF0200"/>
    <w:rsid w:val="00CF0A2E"/>
    <w:rsid w:val="00CF152D"/>
    <w:rsid w:val="00CF1C6A"/>
    <w:rsid w:val="00CF1EAF"/>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F53"/>
    <w:rsid w:val="00D01307"/>
    <w:rsid w:val="00D023E6"/>
    <w:rsid w:val="00D025B1"/>
    <w:rsid w:val="00D026F3"/>
    <w:rsid w:val="00D02D6E"/>
    <w:rsid w:val="00D034E1"/>
    <w:rsid w:val="00D0419A"/>
    <w:rsid w:val="00D04933"/>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769"/>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9E0"/>
    <w:rsid w:val="00D20DAF"/>
    <w:rsid w:val="00D223EA"/>
    <w:rsid w:val="00D22B2A"/>
    <w:rsid w:val="00D2369F"/>
    <w:rsid w:val="00D2429A"/>
    <w:rsid w:val="00D24CEA"/>
    <w:rsid w:val="00D254DC"/>
    <w:rsid w:val="00D25815"/>
    <w:rsid w:val="00D260F8"/>
    <w:rsid w:val="00D263A4"/>
    <w:rsid w:val="00D26445"/>
    <w:rsid w:val="00D26636"/>
    <w:rsid w:val="00D305E3"/>
    <w:rsid w:val="00D30E10"/>
    <w:rsid w:val="00D3219D"/>
    <w:rsid w:val="00D32EDB"/>
    <w:rsid w:val="00D33189"/>
    <w:rsid w:val="00D33F1D"/>
    <w:rsid w:val="00D33F7C"/>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5BA8"/>
    <w:rsid w:val="00D65D4C"/>
    <w:rsid w:val="00D6605C"/>
    <w:rsid w:val="00D666F2"/>
    <w:rsid w:val="00D67582"/>
    <w:rsid w:val="00D67A8F"/>
    <w:rsid w:val="00D70A08"/>
    <w:rsid w:val="00D70C56"/>
    <w:rsid w:val="00D712E0"/>
    <w:rsid w:val="00D71834"/>
    <w:rsid w:val="00D72199"/>
    <w:rsid w:val="00D72741"/>
    <w:rsid w:val="00D7286C"/>
    <w:rsid w:val="00D73080"/>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F24"/>
    <w:rsid w:val="00DA7683"/>
    <w:rsid w:val="00DB0457"/>
    <w:rsid w:val="00DB05E9"/>
    <w:rsid w:val="00DB0615"/>
    <w:rsid w:val="00DB1060"/>
    <w:rsid w:val="00DB1CD6"/>
    <w:rsid w:val="00DB2CFE"/>
    <w:rsid w:val="00DB2EFC"/>
    <w:rsid w:val="00DB33A0"/>
    <w:rsid w:val="00DB38A9"/>
    <w:rsid w:val="00DB3A47"/>
    <w:rsid w:val="00DB3AD3"/>
    <w:rsid w:val="00DB4235"/>
    <w:rsid w:val="00DB452D"/>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11D4"/>
    <w:rsid w:val="00DD1493"/>
    <w:rsid w:val="00DD225E"/>
    <w:rsid w:val="00DD229E"/>
    <w:rsid w:val="00DD2E44"/>
    <w:rsid w:val="00DD30E3"/>
    <w:rsid w:val="00DD3162"/>
    <w:rsid w:val="00DD355D"/>
    <w:rsid w:val="00DD3898"/>
    <w:rsid w:val="00DD3CBA"/>
    <w:rsid w:val="00DD3D1C"/>
    <w:rsid w:val="00DD55E0"/>
    <w:rsid w:val="00DD5EBD"/>
    <w:rsid w:val="00DD636E"/>
    <w:rsid w:val="00DD63EA"/>
    <w:rsid w:val="00DD6A00"/>
    <w:rsid w:val="00DD7832"/>
    <w:rsid w:val="00DD7FEF"/>
    <w:rsid w:val="00DE0F67"/>
    <w:rsid w:val="00DE10B9"/>
    <w:rsid w:val="00DE15F9"/>
    <w:rsid w:val="00DE1722"/>
    <w:rsid w:val="00DE1A27"/>
    <w:rsid w:val="00DE2737"/>
    <w:rsid w:val="00DE2771"/>
    <w:rsid w:val="00DE2F84"/>
    <w:rsid w:val="00DE30E1"/>
    <w:rsid w:val="00DE3392"/>
    <w:rsid w:val="00DE37A0"/>
    <w:rsid w:val="00DE37AD"/>
    <w:rsid w:val="00DE3DBB"/>
    <w:rsid w:val="00DE3FBE"/>
    <w:rsid w:val="00DE5123"/>
    <w:rsid w:val="00DE5978"/>
    <w:rsid w:val="00DE5C38"/>
    <w:rsid w:val="00DE640B"/>
    <w:rsid w:val="00DE6DA4"/>
    <w:rsid w:val="00DE7532"/>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2EA9"/>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882"/>
    <w:rsid w:val="00E24AA1"/>
    <w:rsid w:val="00E250FD"/>
    <w:rsid w:val="00E258E0"/>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74E5"/>
    <w:rsid w:val="00ED7686"/>
    <w:rsid w:val="00ED7A25"/>
    <w:rsid w:val="00ED7CC7"/>
    <w:rsid w:val="00EE014B"/>
    <w:rsid w:val="00EE0284"/>
    <w:rsid w:val="00EE0567"/>
    <w:rsid w:val="00EE1D36"/>
    <w:rsid w:val="00EE2C4F"/>
    <w:rsid w:val="00EE2FE7"/>
    <w:rsid w:val="00EE37E5"/>
    <w:rsid w:val="00EE3FFD"/>
    <w:rsid w:val="00EE43B9"/>
    <w:rsid w:val="00EE4750"/>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0F1C"/>
    <w:rsid w:val="00F11A01"/>
    <w:rsid w:val="00F120C5"/>
    <w:rsid w:val="00F12720"/>
    <w:rsid w:val="00F12735"/>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A7A"/>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C85"/>
    <w:rsid w:val="00F56CC9"/>
    <w:rsid w:val="00F56CF4"/>
    <w:rsid w:val="00F5715A"/>
    <w:rsid w:val="00F574B2"/>
    <w:rsid w:val="00F577A4"/>
    <w:rsid w:val="00F57B4D"/>
    <w:rsid w:val="00F57C83"/>
    <w:rsid w:val="00F57FB7"/>
    <w:rsid w:val="00F615AC"/>
    <w:rsid w:val="00F61CFF"/>
    <w:rsid w:val="00F62008"/>
    <w:rsid w:val="00F62812"/>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1595"/>
    <w:rsid w:val="00F71FA3"/>
    <w:rsid w:val="00F73D49"/>
    <w:rsid w:val="00F73DA9"/>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BA3"/>
    <w:rsid w:val="00FD0E73"/>
    <w:rsid w:val="00FD1169"/>
    <w:rsid w:val="00FD15A1"/>
    <w:rsid w:val="00FD1653"/>
    <w:rsid w:val="00FD294C"/>
    <w:rsid w:val="00FD2E86"/>
    <w:rsid w:val="00FD385F"/>
    <w:rsid w:val="00FD3D0B"/>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07B"/>
    <w:pPr>
      <w:spacing w:after="160" w:line="259" w:lineRule="auto"/>
    </w:pPr>
    <w:rPr>
      <w:rFonts w:ascii="Calibri" w:hAnsi="Calibr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2007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2007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spacing w:after="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rFonts w:ascii="Times New Roman" w:hAnsi="Times New Roman"/>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line="240" w:lineRule="auto"/>
    </w:pPr>
    <w:rPr>
      <w:rFonts w:ascii="Times New Roman" w:eastAsia="Times New Roman" w:hAnsi="Times New Roman"/>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link w:val="af5"/>
    <w:uiPriority w:val="34"/>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6B58B-0DAD-4E32-982E-EC3CF9559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2017-08-14T02:38:00Z</dcterms:created>
  <dcterms:modified xsi:type="dcterms:W3CDTF">2017-09-09T15:08:00Z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